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961" w14:textId="77777777" w:rsidR="00592596" w:rsidRDefault="00592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369"/>
      </w:tblGrid>
      <w:tr w:rsidR="00592596" w14:paraId="081A1F03" w14:textId="77777777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89A8E30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9" w:type="dxa"/>
            <w:shd w:val="clear" w:color="auto" w:fill="auto"/>
          </w:tcPr>
          <w:p w14:paraId="3C4D9A02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las actividades requeridas para garantizar la gestión integral de los residuos sólidos aprovechables generados en la UCM.</w:t>
            </w:r>
          </w:p>
        </w:tc>
      </w:tr>
    </w:tbl>
    <w:p w14:paraId="6D247939" w14:textId="77777777" w:rsidR="00592596" w:rsidRDefault="00592596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7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369"/>
      </w:tblGrid>
      <w:tr w:rsidR="00592596" w14:paraId="6A2FEDAE" w14:textId="77777777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2B4B7652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9" w:type="dxa"/>
            <w:shd w:val="clear" w:color="auto" w:fill="auto"/>
          </w:tcPr>
          <w:p w14:paraId="0906EFF3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separación de los residuos sólidos aprovechables en la fuente de generación, inc</w:t>
            </w:r>
            <w:r>
              <w:rPr>
                <w:rFonts w:ascii="Century Gothic" w:eastAsia="Century Gothic" w:hAnsi="Century Gothic" w:cs="Century Gothic"/>
              </w:rPr>
              <w:t xml:space="preserve">luyendo la recolección de estos a través de la ruta establecida y finaliza con el registro del material reciclable comercializado.  </w:t>
            </w:r>
          </w:p>
        </w:tc>
      </w:tr>
    </w:tbl>
    <w:p w14:paraId="4BBE1316" w14:textId="77777777" w:rsidR="00592596" w:rsidRDefault="00592596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8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8379"/>
      </w:tblGrid>
      <w:tr w:rsidR="00592596" w14:paraId="0D3479AC" w14:textId="77777777">
        <w:trPr>
          <w:jc w:val="center"/>
        </w:trPr>
        <w:tc>
          <w:tcPr>
            <w:tcW w:w="1686" w:type="dxa"/>
            <w:shd w:val="clear" w:color="auto" w:fill="D9D9D9"/>
            <w:vAlign w:val="center"/>
          </w:tcPr>
          <w:p w14:paraId="55EF1BE4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  <w:shd w:val="clear" w:color="auto" w:fill="auto"/>
          </w:tcPr>
          <w:p w14:paraId="510DDF0E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Residuo sólido aprovechable: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cualquier material, objeto, sustancia o elemento sólido que no tiene valor de uso para quien lo genere, pero que es susceptible de aprovechamiento para su reincorporación a un proceso productivo (Decreto 2981 de 2013).</w:t>
            </w:r>
          </w:p>
          <w:p w14:paraId="1C330523" w14:textId="77777777" w:rsidR="00592596" w:rsidRDefault="00592596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C58DC84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Separación en la fuente: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clasificación de los residuos sólidos, en aprovechables y no aprovechables por parte de los usuarios en el sitio donde se generan, de acuerdo con lo establecido en el PGIRS, para ser presentados para su recolección y transpor</w:t>
            </w:r>
            <w:r>
              <w:rPr>
                <w:rFonts w:ascii="Century Gothic" w:eastAsia="Century Gothic" w:hAnsi="Century Gothic" w:cs="Century Gothic"/>
                <w:color w:val="000000"/>
              </w:rPr>
              <w:t>te a las estaciones de clasificación y aprovechamiento, o de disposición final de los mismos, según sea el caso (Decreto 1077 de 2015).</w:t>
            </w:r>
            <w:r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 </w:t>
            </w:r>
          </w:p>
          <w:p w14:paraId="281094C3" w14:textId="77777777" w:rsidR="00592596" w:rsidRDefault="00592596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F27CA65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Gestor o receptor de residuos: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Persona natural o jurídica que presta los servicios de recolección, almacenamiento, tra</w:t>
            </w:r>
            <w:r>
              <w:rPr>
                <w:rFonts w:ascii="Century Gothic" w:eastAsia="Century Gothic" w:hAnsi="Century Gothic" w:cs="Century Gothic"/>
                <w:color w:val="000000"/>
              </w:rPr>
              <w:t>nsporte, tratamiento, aprovechamiento y/o disposición final de residuos (Decreto 351 DE 2014).</w:t>
            </w:r>
          </w:p>
          <w:p w14:paraId="548C3817" w14:textId="77777777" w:rsidR="00592596" w:rsidRDefault="0059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250BB6D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Gestión integral de residuos sólidos: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 el conjunto de actividades encaminadas a reducir la generación de residuos, a realizar el aprovechamiento teniendo en cuenta sus características, volumen, procedencia, costos, tratamiento con fines de valorización energética, posibilidades de aprovecha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miento y comercialización. También incluye el tratamiento y disposición final de los residuos no aprovechables (Decreto 1077 de 2015). </w:t>
            </w:r>
          </w:p>
          <w:p w14:paraId="0E32FBC0" w14:textId="77777777" w:rsidR="00592596" w:rsidRDefault="0059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4F09C3C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Almacenamiento de residuos sólidos: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acción del usuario de guardar temporalmente los residuos sólidos en depósitos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, recipientes o cajas de almacenamiento, retornables o desechables, para su recolección por la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persona prestadora con fines de aprovechamiento o de disposición final (Decreto 2981 de 2013).</w:t>
            </w:r>
          </w:p>
          <w:p w14:paraId="2DA69F70" w14:textId="77777777" w:rsidR="00592596" w:rsidRDefault="00592596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C3F45E8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Aprovechamiento: </w:t>
            </w:r>
            <w:r>
              <w:rPr>
                <w:rFonts w:ascii="Century Gothic" w:eastAsia="Century Gothic" w:hAnsi="Century Gothic" w:cs="Century Gothic"/>
              </w:rPr>
              <w:t>La actividad complementaria del servicio público</w:t>
            </w:r>
            <w:r>
              <w:rPr>
                <w:rFonts w:ascii="Century Gothic" w:eastAsia="Century Gothic" w:hAnsi="Century Gothic" w:cs="Century Gothic"/>
              </w:rPr>
              <w:t xml:space="preserve"> de aseo que comprende la recolección de residuos aprovechables separados en la fuente por los usuarios, el transporte selectivo hasta la estación de clasificación y aprovechamiento o hasta la planta de aprovechamiento, así como su clasificación y pesaje (</w:t>
            </w:r>
            <w:r>
              <w:rPr>
                <w:rFonts w:ascii="Century Gothic" w:eastAsia="Century Gothic" w:hAnsi="Century Gothic" w:cs="Century Gothic"/>
              </w:rPr>
              <w:t>Decreto 1077 de 2015).</w:t>
            </w:r>
          </w:p>
          <w:p w14:paraId="5269B44A" w14:textId="77777777" w:rsidR="00592596" w:rsidRDefault="0059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3C366103" w14:textId="77777777" w:rsidR="00592596" w:rsidRDefault="00BA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Unidad de almacenamiento: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el área definida y cerrada, en la que se ubican las cajas de almacenamiento o similares para que el usuario almacene temporalmente los residuos sólidos, mientras son presentados a la persona prestadora d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 servicio público de aseo para su recolección y transporte (Decreto 2981 de 2013).</w:t>
            </w:r>
          </w:p>
        </w:tc>
      </w:tr>
    </w:tbl>
    <w:p w14:paraId="312C7D33" w14:textId="77777777" w:rsidR="00592596" w:rsidRDefault="00592596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9"/>
        <w:tblW w:w="101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70"/>
        <w:gridCol w:w="3555"/>
        <w:gridCol w:w="1905"/>
        <w:gridCol w:w="1530"/>
        <w:gridCol w:w="1755"/>
      </w:tblGrid>
      <w:tr w:rsidR="00592596" w14:paraId="72211CED" w14:textId="77777777">
        <w:trPr>
          <w:trHeight w:val="467"/>
        </w:trPr>
        <w:tc>
          <w:tcPr>
            <w:tcW w:w="8370" w:type="dxa"/>
            <w:gridSpan w:val="5"/>
            <w:shd w:val="clear" w:color="auto" w:fill="D9D9D9"/>
            <w:vAlign w:val="center"/>
          </w:tcPr>
          <w:p w14:paraId="12CBCC78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  <w:tc>
          <w:tcPr>
            <w:tcW w:w="1755" w:type="dxa"/>
            <w:shd w:val="clear" w:color="auto" w:fill="D9D9D9"/>
            <w:vAlign w:val="center"/>
          </w:tcPr>
          <w:p w14:paraId="2F6FE140" w14:textId="77777777" w:rsidR="00592596" w:rsidRDefault="00592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92596" w14:paraId="7B2C9C52" w14:textId="77777777">
        <w:tc>
          <w:tcPr>
            <w:tcW w:w="810" w:type="dxa"/>
            <w:shd w:val="clear" w:color="auto" w:fill="D9D9D9"/>
            <w:vAlign w:val="center"/>
          </w:tcPr>
          <w:p w14:paraId="7B5FB7A4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70" w:type="dxa"/>
            <w:shd w:val="clear" w:color="auto" w:fill="D9D9D9"/>
          </w:tcPr>
          <w:p w14:paraId="2214FF0C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A893B90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555" w:type="dxa"/>
            <w:shd w:val="clear" w:color="auto" w:fill="D9D9D9"/>
            <w:vAlign w:val="center"/>
          </w:tcPr>
          <w:p w14:paraId="1DBED2BD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1905" w:type="dxa"/>
            <w:shd w:val="clear" w:color="auto" w:fill="D9D9D9"/>
            <w:vAlign w:val="center"/>
          </w:tcPr>
          <w:p w14:paraId="3CA764D1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CD37CB0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1755" w:type="dxa"/>
            <w:shd w:val="clear" w:color="auto" w:fill="D9D9D9"/>
            <w:vAlign w:val="center"/>
          </w:tcPr>
          <w:p w14:paraId="5863792D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592596" w14:paraId="0A01ABB1" w14:textId="77777777">
        <w:tc>
          <w:tcPr>
            <w:tcW w:w="810" w:type="dxa"/>
            <w:shd w:val="clear" w:color="auto" w:fill="auto"/>
            <w:vAlign w:val="center"/>
          </w:tcPr>
          <w:p w14:paraId="7975E1FB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A6B657A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520C692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156EB34C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Separación de los residuos sólidos aprovechables en la fuente de generación.</w:t>
            </w:r>
          </w:p>
          <w:p w14:paraId="52E11F6F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217FC157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La Comunidad universitaria debe realizar una adecuada separación de residuos sólidos en la fuente de generación, depositando los residuos sólidos aprovechables en l</w:t>
            </w:r>
            <w:r>
              <w:rPr>
                <w:rFonts w:ascii="Century Gothic" w:eastAsia="Century Gothic" w:hAnsi="Century Gothic" w:cs="Century Gothic"/>
              </w:rPr>
              <w:t xml:space="preserve">os contenedores y/o bolsas de </w:t>
            </w:r>
            <w:r>
              <w:rPr>
                <w:rFonts w:ascii="Century Gothic" w:eastAsia="Century Gothic" w:hAnsi="Century Gothic" w:cs="Century Gothic"/>
                <w:b/>
              </w:rPr>
              <w:t>color blanco</w:t>
            </w:r>
            <w:r>
              <w:rPr>
                <w:rFonts w:ascii="Century Gothic" w:eastAsia="Century Gothic" w:hAnsi="Century Gothic" w:cs="Century Gothic"/>
              </w:rPr>
              <w:t>, según la resolución 2184 de 2019.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D28DC2E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Comunidad universitaria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93A5AE" w14:textId="77777777" w:rsidR="00592596" w:rsidRDefault="00BA6B25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N/A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47DD4D" w14:textId="77777777" w:rsidR="00592596" w:rsidRDefault="00592596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92596" w14:paraId="1F0E7F0F" w14:textId="77777777">
        <w:trPr>
          <w:trHeight w:val="627"/>
        </w:trPr>
        <w:tc>
          <w:tcPr>
            <w:tcW w:w="810" w:type="dxa"/>
            <w:vAlign w:val="center"/>
          </w:tcPr>
          <w:p w14:paraId="7D245B2C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70" w:type="dxa"/>
            <w:vAlign w:val="center"/>
          </w:tcPr>
          <w:p w14:paraId="76CA97D3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vAlign w:val="center"/>
          </w:tcPr>
          <w:p w14:paraId="552F68C5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16D335CB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Recolección de los residuos sólidos aprovechables.</w:t>
            </w:r>
          </w:p>
          <w:p w14:paraId="3FC3799F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491DB08A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Los colaboradores de Planta física deberán realizar la recolección de los residuos sólidos aprovechables según la ruta de recolección establecida por la Oficina de Gestión ambiental con una frecuencia diaria.</w:t>
            </w:r>
          </w:p>
        </w:tc>
        <w:tc>
          <w:tcPr>
            <w:tcW w:w="1905" w:type="dxa"/>
            <w:vAlign w:val="center"/>
          </w:tcPr>
          <w:p w14:paraId="130A6791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Colaborador de Planta Física</w:t>
            </w:r>
          </w:p>
        </w:tc>
        <w:tc>
          <w:tcPr>
            <w:tcW w:w="1530" w:type="dxa"/>
            <w:vAlign w:val="center"/>
          </w:tcPr>
          <w:p w14:paraId="1133D974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Ruta de recolecció</w:t>
            </w:r>
            <w:r>
              <w:rPr>
                <w:rFonts w:ascii="Century Gothic" w:eastAsia="Century Gothic" w:hAnsi="Century Gothic" w:cs="Century Gothic"/>
              </w:rPr>
              <w:t xml:space="preserve">n </w:t>
            </w:r>
            <w:r>
              <w:rPr>
                <w:rFonts w:ascii="Century Gothic" w:eastAsia="Century Gothic" w:hAnsi="Century Gothic" w:cs="Century Gothic"/>
              </w:rPr>
              <w:lastRenderedPageBreak/>
              <w:t>de residuos sólidos</w:t>
            </w:r>
          </w:p>
        </w:tc>
        <w:tc>
          <w:tcPr>
            <w:tcW w:w="1755" w:type="dxa"/>
            <w:vAlign w:val="center"/>
          </w:tcPr>
          <w:p w14:paraId="0D29FE53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https://drive.google.com/drive/folders/1RydKQlDJrZlm_Yu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mCrVAFpk7kiWw4BVk?usp=drive_link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92596" w14:paraId="34681CE8" w14:textId="77777777">
        <w:trPr>
          <w:trHeight w:val="2004"/>
        </w:trPr>
        <w:tc>
          <w:tcPr>
            <w:tcW w:w="810" w:type="dxa"/>
            <w:vAlign w:val="center"/>
          </w:tcPr>
          <w:p w14:paraId="0A2D322D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3</w:t>
            </w:r>
          </w:p>
        </w:tc>
        <w:tc>
          <w:tcPr>
            <w:tcW w:w="570" w:type="dxa"/>
            <w:vAlign w:val="center"/>
          </w:tcPr>
          <w:p w14:paraId="02EAA605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vAlign w:val="center"/>
          </w:tcPr>
          <w:p w14:paraId="7EEFADBB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BE8EDAD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Almacenamiento de los residuos sólidos aprovechables.</w:t>
            </w:r>
          </w:p>
          <w:p w14:paraId="41F2D14D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1B544D71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Una vez se realice la recolección, los residuos sólidos se deben llevar al Centro de acopio del material reciclable, donde son clasificados y almacenados temporalmente.</w:t>
            </w:r>
          </w:p>
        </w:tc>
        <w:tc>
          <w:tcPr>
            <w:tcW w:w="1905" w:type="dxa"/>
            <w:vAlign w:val="center"/>
          </w:tcPr>
          <w:p w14:paraId="0C2BB30F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Colaborador de Pla</w:t>
            </w:r>
            <w:r>
              <w:rPr>
                <w:rFonts w:ascii="Century Gothic" w:eastAsia="Century Gothic" w:hAnsi="Century Gothic" w:cs="Century Gothic"/>
              </w:rPr>
              <w:t>nta Física</w:t>
            </w:r>
          </w:p>
        </w:tc>
        <w:tc>
          <w:tcPr>
            <w:tcW w:w="1530" w:type="dxa"/>
            <w:vAlign w:val="center"/>
          </w:tcPr>
          <w:p w14:paraId="0380F31C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N/A</w:t>
            </w:r>
          </w:p>
        </w:tc>
        <w:tc>
          <w:tcPr>
            <w:tcW w:w="1755" w:type="dxa"/>
            <w:vAlign w:val="center"/>
          </w:tcPr>
          <w:p w14:paraId="04FB368B" w14:textId="77777777" w:rsidR="00592596" w:rsidRDefault="0059259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92596" w14:paraId="360DE761" w14:textId="77777777">
        <w:trPr>
          <w:trHeight w:val="2004"/>
        </w:trPr>
        <w:tc>
          <w:tcPr>
            <w:tcW w:w="810" w:type="dxa"/>
            <w:vAlign w:val="center"/>
          </w:tcPr>
          <w:p w14:paraId="1929C2C8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70" w:type="dxa"/>
            <w:vAlign w:val="center"/>
          </w:tcPr>
          <w:p w14:paraId="7222259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vAlign w:val="center"/>
          </w:tcPr>
          <w:p w14:paraId="230998EE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23CB269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Definir el gestor externo de los residuos sólidos aprovechables para su recolección y aprovechamiento.</w:t>
            </w:r>
          </w:p>
          <w:p w14:paraId="2D9538B8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50ADA4C3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través de los criterios establecidos por la Oficina de Gestión Ambiental se debe seleccionar un gestor externo para la recolección y aprovechamiento de los residuos sólidos aprovechables almacenados. </w:t>
            </w:r>
          </w:p>
        </w:tc>
        <w:tc>
          <w:tcPr>
            <w:tcW w:w="1905" w:type="dxa"/>
            <w:vAlign w:val="center"/>
          </w:tcPr>
          <w:p w14:paraId="3096B657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1530" w:type="dxa"/>
            <w:vAlign w:val="center"/>
          </w:tcPr>
          <w:p w14:paraId="20DDF7D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Convenio firmad</w:t>
            </w:r>
            <w:r>
              <w:rPr>
                <w:rFonts w:ascii="Century Gothic" w:eastAsia="Century Gothic" w:hAnsi="Century Gothic" w:cs="Century Gothic"/>
              </w:rPr>
              <w:t>o por las partes</w:t>
            </w:r>
          </w:p>
        </w:tc>
        <w:tc>
          <w:tcPr>
            <w:tcW w:w="1755" w:type="dxa"/>
            <w:vAlign w:val="center"/>
          </w:tcPr>
          <w:p w14:paraId="7E7A54A3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Convenio firmado por las partes</w:t>
            </w:r>
          </w:p>
        </w:tc>
      </w:tr>
      <w:tr w:rsidR="00592596" w14:paraId="791BC1C3" w14:textId="77777777">
        <w:trPr>
          <w:trHeight w:val="7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38F2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B69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F968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3D408CF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Establecimiento de la fecha de entrega de los residuos sólidos aprovechables.</w:t>
            </w:r>
          </w:p>
          <w:p w14:paraId="0862DB1F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Descripción:  </w:t>
            </w:r>
          </w:p>
          <w:p w14:paraId="537CF9A5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Una vez el centro de acopio llegue a su máxima capacidad, usualmente entre dos y tres meses, el colaborador de Planta Física debe contactar a la Oficina de Gestión Ambiental quien acordará la fecha de entrega del material reciclable con el gestor.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106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Colaborador de Planta Física</w:t>
            </w:r>
          </w:p>
          <w:p w14:paraId="24BCE524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Gestor ambiental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4AC0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N/A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9C30" w14:textId="77777777" w:rsidR="00592596" w:rsidRDefault="0059259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92596" w14:paraId="0C29A0E0" w14:textId="77777777">
        <w:trPr>
          <w:trHeight w:val="20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5E5C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C776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E41E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7951C1A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Entrega de los residuos sólidos aprovechables al gestor de residuos externo.</w:t>
            </w:r>
          </w:p>
          <w:p w14:paraId="0E63FD0C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2CEF628B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El personal responsable de la recolección de los residuos sólidos aprovechables debe embalar el m</w:t>
            </w:r>
            <w:r>
              <w:rPr>
                <w:rFonts w:ascii="Century Gothic" w:eastAsia="Century Gothic" w:hAnsi="Century Gothic" w:cs="Century Gothic"/>
              </w:rPr>
              <w:t>aterial y posteriormente realizar la entrega de este.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3646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Colaborador Planta Física</w:t>
            </w:r>
          </w:p>
          <w:p w14:paraId="14C31C16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26D3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Recibo de venta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344A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https://drive.google.com/drive/folders/19E1QuOKyRkmUb6x5yavqU4AlmHZGSM4E?usp=drive_link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92596" w14:paraId="69E08A26" w14:textId="77777777">
        <w:trPr>
          <w:trHeight w:val="20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860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EAC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1EE6" w14:textId="77777777" w:rsidR="00592596" w:rsidRDefault="00BA6B25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3EB3D64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Registro de los residuos sólidos aprovechables</w:t>
            </w:r>
            <w:r>
              <w:rPr>
                <w:rFonts w:ascii="Century Gothic" w:eastAsia="Century Gothic" w:hAnsi="Century Gothic" w:cs="Century Gothic"/>
              </w:rPr>
              <w:t xml:space="preserve"> generados.</w:t>
            </w:r>
          </w:p>
          <w:p w14:paraId="329EF07B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167C7FA5" w14:textId="77777777" w:rsidR="00592596" w:rsidRDefault="00BA6B25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Durante el pesaje del material reciclable realizado por el gestor externo, se debe registrar la fecha, el periodo de almacenamiento, el tipo de material, su peso y valor, con el objetivo de alimentar los indicadores ambientales.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9211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67B2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Formato: Registro de generación de residuos sólidos aprovechables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097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https://docs.google.com/spreadsheets/d/1Hf9bFveSEL-5iOZWkwlc5HfJgfwAmPrA/edit?usp=drive_link&amp;ouid=103015257887748051909&amp;rtpof=true&amp;sd=true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6620C52B" w14:textId="77777777" w:rsidR="00592596" w:rsidRDefault="00BA6B25">
      <w:pPr>
        <w:spacing w:after="0"/>
        <w:rPr>
          <w:rFonts w:ascii="Century Gothic" w:eastAsia="Century Gothic" w:hAnsi="Century Gothic" w:cs="Century Gothic"/>
        </w:rPr>
      </w:pPr>
      <w:bookmarkStart w:id="2" w:name="_heading=h.1fob9te" w:colFirst="0" w:colLast="0"/>
      <w:bookmarkEnd w:id="2"/>
      <w:r>
        <w:rPr>
          <w:rFonts w:ascii="Century Gothic" w:eastAsia="Century Gothic" w:hAnsi="Century Gothic" w:cs="Century Gothic"/>
        </w:rPr>
        <w:br/>
      </w:r>
    </w:p>
    <w:tbl>
      <w:tblPr>
        <w:tblStyle w:val="a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2126"/>
        <w:gridCol w:w="1985"/>
      </w:tblGrid>
      <w:tr w:rsidR="00592596" w14:paraId="21B5F362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8FC02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89618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2E77E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79F45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92596" w14:paraId="66D14E70" w14:textId="77777777">
        <w:trPr>
          <w:trHeight w:val="5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BDDB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70CC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Calidad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0DB6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E385" w14:textId="11FCA7A4" w:rsidR="00592596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52B40CF9" w14:textId="1794C479" w:rsidR="00592596" w:rsidRDefault="00592596">
      <w:pPr>
        <w:rPr>
          <w:rFonts w:ascii="Century Gothic" w:eastAsia="Century Gothic" w:hAnsi="Century Gothic" w:cs="Century Gothic"/>
        </w:rPr>
      </w:pPr>
    </w:p>
    <w:p w14:paraId="6062A0BE" w14:textId="77777777" w:rsidR="00592596" w:rsidRDefault="00592596">
      <w:pPr>
        <w:rPr>
          <w:rFonts w:ascii="Century Gothic" w:eastAsia="Century Gothic" w:hAnsi="Century Gothic" w:cs="Century Gothic"/>
        </w:rPr>
      </w:pPr>
    </w:p>
    <w:p w14:paraId="42BD95A1" w14:textId="77777777" w:rsidR="00592596" w:rsidRDefault="00BA6B25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b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592596" w14:paraId="28158014" w14:textId="77777777" w:rsidTr="00BA6B2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21DF2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3D2A8" w14:textId="77777777" w:rsidR="00592596" w:rsidRDefault="00BA6B2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92596" w:rsidRPr="00BA6B25" w14:paraId="69571607" w14:textId="77777777" w:rsidTr="00BA6B25">
        <w:trPr>
          <w:trHeight w:val="6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3B48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No. 4</w:t>
            </w:r>
          </w:p>
          <w:p w14:paraId="1DF225F4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MEDIO DE VERIFICACIÓN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196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Se añade link soporte:</w:t>
            </w:r>
          </w:p>
          <w:p w14:paraId="33C3606D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 w:rsidRPr="00BA6B25"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https://drive.google.com/drive/folders/19E1QuOKyRkmUb6x5yavqU4AlmHZGSM4E?usp=drive_link</w:t>
              </w:r>
            </w:hyperlink>
            <w:r w:rsidRPr="00BA6B25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592596" w:rsidRPr="00BA6B25" w14:paraId="23927F76" w14:textId="77777777" w:rsidTr="00BA6B25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1FA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No. 6</w:t>
            </w:r>
          </w:p>
          <w:p w14:paraId="6E59C230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MEDIO DE VERIFICACIÓN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AA3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Se añade link soporte:</w:t>
            </w:r>
          </w:p>
          <w:p w14:paraId="14E8019C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 w:rsidRPr="00BA6B25"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https://drive.google.com/drive/folders/19E1QuOKyRkmUb6x5yavqU4AlmHZGSM4E?usp=drive_link</w:t>
              </w:r>
            </w:hyperlink>
          </w:p>
        </w:tc>
      </w:tr>
      <w:tr w:rsidR="00592596" w:rsidRPr="00BA6B25" w14:paraId="69268876" w14:textId="77777777" w:rsidTr="00BA6B25">
        <w:trPr>
          <w:trHeight w:val="6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97C6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No. 7</w:t>
            </w:r>
          </w:p>
          <w:p w14:paraId="513B72D3" w14:textId="77777777" w:rsidR="00592596" w:rsidRPr="00BA6B25" w:rsidRDefault="00BA6B2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MEDIO DE VERIFICACIÓN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811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A6B25">
              <w:rPr>
                <w:rFonts w:ascii="Century Gothic" w:eastAsia="Century Gothic" w:hAnsi="Century Gothic" w:cs="Century Gothic"/>
              </w:rPr>
              <w:t>Se añade link soporte:</w:t>
            </w:r>
          </w:p>
          <w:p w14:paraId="5029A833" w14:textId="77777777" w:rsidR="00592596" w:rsidRPr="00BA6B25" w:rsidRDefault="00BA6B25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 w:rsidRPr="00BA6B25"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https://docs.google.com/spreadsheets/d/1Hf9bFveSEL-5iOZWkwlc5HfJgfwAmPrA/ed</w:t>
              </w:r>
              <w:r w:rsidRPr="00BA6B25"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it?usp=drive_link&amp;ouid=103015257887748051909&amp;rtpof=true&amp;sd=true</w:t>
              </w:r>
            </w:hyperlink>
          </w:p>
        </w:tc>
      </w:tr>
    </w:tbl>
    <w:p w14:paraId="064E1234" w14:textId="77777777" w:rsidR="00592596" w:rsidRDefault="00592596">
      <w:pPr>
        <w:rPr>
          <w:rFonts w:ascii="Century Gothic" w:eastAsia="Century Gothic" w:hAnsi="Century Gothic" w:cs="Century Gothic"/>
        </w:rPr>
      </w:pPr>
    </w:p>
    <w:sectPr w:rsidR="00592596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9749" w14:textId="77777777" w:rsidR="00000000" w:rsidRDefault="00BA6B25">
      <w:pPr>
        <w:spacing w:after="0" w:line="240" w:lineRule="auto"/>
      </w:pPr>
      <w:r>
        <w:separator/>
      </w:r>
    </w:p>
  </w:endnote>
  <w:endnote w:type="continuationSeparator" w:id="0">
    <w:p w14:paraId="29D76B32" w14:textId="77777777" w:rsidR="00000000" w:rsidRDefault="00BA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F016" w14:textId="1829D31D" w:rsidR="00592596" w:rsidRDefault="00592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079D" w14:textId="77777777" w:rsidR="00000000" w:rsidRDefault="00BA6B25">
      <w:pPr>
        <w:spacing w:after="0" w:line="240" w:lineRule="auto"/>
      </w:pPr>
      <w:r>
        <w:separator/>
      </w:r>
    </w:p>
  </w:footnote>
  <w:footnote w:type="continuationSeparator" w:id="0">
    <w:p w14:paraId="7D2F61C5" w14:textId="77777777" w:rsidR="00000000" w:rsidRDefault="00BA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C02C" w14:textId="77777777" w:rsidR="00592596" w:rsidRDefault="0059259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c"/>
      <w:tblW w:w="100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08"/>
      <w:gridCol w:w="4064"/>
      <w:gridCol w:w="1134"/>
      <w:gridCol w:w="1559"/>
    </w:tblGrid>
    <w:tr w:rsidR="00592596" w14:paraId="7A3C416F" w14:textId="77777777">
      <w:trPr>
        <w:trHeight w:val="693"/>
        <w:jc w:val="center"/>
      </w:trPr>
      <w:tc>
        <w:tcPr>
          <w:tcW w:w="3308" w:type="dxa"/>
          <w:vMerge w:val="restart"/>
          <w:vAlign w:val="center"/>
        </w:tcPr>
        <w:p w14:paraId="43541DD1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3441C4B6" wp14:editId="5A244246">
                <wp:extent cx="1247775" cy="571500"/>
                <wp:effectExtent l="0" t="0" r="0" b="0"/>
                <wp:docPr id="14" name="image2.jpg" descr="Descripción: 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pción: 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shd w:val="clear" w:color="auto" w:fill="D9D9D9"/>
          <w:vAlign w:val="center"/>
        </w:tcPr>
        <w:p w14:paraId="0D08BFDC" w14:textId="77777777" w:rsidR="00592596" w:rsidRDefault="00BA6B25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PROCESO DE CULTURA Y GESTIÓN AMBIENTAL</w:t>
          </w:r>
        </w:p>
      </w:tc>
      <w:tc>
        <w:tcPr>
          <w:tcW w:w="1134" w:type="dxa"/>
          <w:vAlign w:val="center"/>
        </w:tcPr>
        <w:p w14:paraId="23B501BD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72106694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</w:rPr>
            <w:t>9</w:t>
          </w:r>
        </w:p>
      </w:tc>
    </w:tr>
    <w:tr w:rsidR="00592596" w14:paraId="147567DD" w14:textId="77777777">
      <w:trPr>
        <w:trHeight w:val="427"/>
        <w:jc w:val="center"/>
      </w:trPr>
      <w:tc>
        <w:tcPr>
          <w:tcW w:w="3308" w:type="dxa"/>
          <w:vMerge/>
          <w:vAlign w:val="center"/>
        </w:tcPr>
        <w:p w14:paraId="74A74152" w14:textId="77777777" w:rsidR="00592596" w:rsidRDefault="005925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064" w:type="dxa"/>
          <w:vMerge w:val="restart"/>
        </w:tcPr>
        <w:p w14:paraId="4F81ECAF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PROCEDIMIENTO PARA LA GESTIÓN INTEGRAL DE RESIDUOS SÓLIDOS APROVECHABLES </w:t>
          </w:r>
        </w:p>
      </w:tc>
      <w:tc>
        <w:tcPr>
          <w:tcW w:w="1134" w:type="dxa"/>
          <w:vAlign w:val="center"/>
        </w:tcPr>
        <w:p w14:paraId="4661E631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34C8BFDE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592596" w14:paraId="0EDBA99E" w14:textId="77777777">
      <w:trPr>
        <w:trHeight w:val="272"/>
        <w:jc w:val="center"/>
      </w:trPr>
      <w:tc>
        <w:tcPr>
          <w:tcW w:w="3308" w:type="dxa"/>
          <w:vMerge/>
          <w:vAlign w:val="center"/>
        </w:tcPr>
        <w:p w14:paraId="771E564F" w14:textId="77777777" w:rsidR="00592596" w:rsidRDefault="005925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064" w:type="dxa"/>
          <w:vMerge/>
        </w:tcPr>
        <w:p w14:paraId="61E20A69" w14:textId="77777777" w:rsidR="00592596" w:rsidRDefault="005925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37B645C5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69F786C" w14:textId="77777777" w:rsidR="00592596" w:rsidRDefault="00BA6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 de 4</w:t>
          </w:r>
        </w:p>
      </w:tc>
    </w:tr>
  </w:tbl>
  <w:p w14:paraId="1C06D8D5" w14:textId="77777777" w:rsidR="00592596" w:rsidRDefault="00592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96"/>
    <w:rsid w:val="00592596"/>
    <w:rsid w:val="00B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E26B8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E1QuOKyRkmUb6x5yavqU4AlmHZGSM4E?usp=drive_li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ydKQlDJrZlm_YumCrVAFpk7kiWw4BVk?usp=drive_link" TargetMode="External"/><Relationship Id="rId12" Type="http://schemas.openxmlformats.org/officeDocument/2006/relationships/hyperlink" Target="https://docs.google.com/spreadsheets/d/1Hf9bFveSEL-5iOZWkwlc5HfJgfwAmPrA/edit?usp=drive_link&amp;ouid=103015257887748051909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9E1QuOKyRkmUb6x5yavqU4AlmHZGSM4E?usp=drive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9E1QuOKyRkmUb6x5yavqU4AlmHZGSM4E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Hf9bFveSEL-5iOZWkwlc5HfJgfwAmPrA/edit?usp=drive_link&amp;ouid=103015257887748051909&amp;rtpof=true&amp;sd=tru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C0Xbd1Nht7AO/84oweRC6ap7Q==">CgMxLjAyCGguZ2pkZ3hzMgloLjMwajB6bGwyCWguMWZvYjl0ZTgAciExNTZVWVFfNGlvUlRsZFd4OVJONDFDTVVEdFlQWS1VM3g=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Microsoft Office User</cp:lastModifiedBy>
  <cp:revision>2</cp:revision>
  <dcterms:created xsi:type="dcterms:W3CDTF">2021-04-16T13:13:00Z</dcterms:created>
  <dcterms:modified xsi:type="dcterms:W3CDTF">2025-02-12T15:51:00Z</dcterms:modified>
</cp:coreProperties>
</file>