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273F5" w14:textId="42F5FC9C" w:rsidR="0016703E" w:rsidRDefault="0016703E" w:rsidP="0016703E">
      <w:pPr>
        <w:pStyle w:val="Ttulo1"/>
        <w:spacing w:before="0" w:beforeAutospacing="0" w:after="0" w:afterAutospacing="0"/>
        <w:rPr>
          <w:rFonts w:ascii="Century Gothic" w:eastAsia="Arial" w:hAnsi="Century Gothic" w:cs="Arial"/>
          <w:sz w:val="24"/>
          <w:szCs w:val="24"/>
        </w:rPr>
      </w:pPr>
      <w:r>
        <w:rPr>
          <w:rFonts w:ascii="Century Gothic" w:eastAsia="Arial" w:hAnsi="Century Gothic" w:cs="Arial"/>
          <w:sz w:val="24"/>
          <w:szCs w:val="24"/>
        </w:rPr>
        <w:t>INTRODUCCIÓN</w:t>
      </w:r>
    </w:p>
    <w:p w14:paraId="089F6D37" w14:textId="77777777" w:rsidR="0016703E" w:rsidRPr="0016703E" w:rsidRDefault="0016703E" w:rsidP="0016703E">
      <w:pPr>
        <w:pStyle w:val="Ttulo1"/>
        <w:spacing w:before="0" w:beforeAutospacing="0" w:after="0" w:afterAutospacing="0"/>
        <w:rPr>
          <w:rFonts w:ascii="Century Gothic" w:eastAsia="Arial" w:hAnsi="Century Gothic" w:cs="Arial"/>
          <w:sz w:val="24"/>
          <w:szCs w:val="24"/>
        </w:rPr>
      </w:pPr>
    </w:p>
    <w:p w14:paraId="39D3182F" w14:textId="77777777" w:rsidR="00F2150C"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 Síndrome de Intestino Irritable SII es una condición orgánica de origen multifactorial, caracterizada principalmente por el dolor abdominal y cambio en el patrón defecatorio.</w:t>
      </w:r>
    </w:p>
    <w:p w14:paraId="06A2A902" w14:textId="77777777" w:rsidR="0016703E" w:rsidRP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highlight w:val="yellow"/>
        </w:rPr>
      </w:pPr>
    </w:p>
    <w:p w14:paraId="72538CA7"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Este síndrome impacta considerablemente la calidad de vida de las personas, generando interferencias en actividades cotidianas como la alimentación, el descanso, el trabajo y las relaciones sexuales, lo que resulta una preocupación constante por la salud. </w:t>
      </w:r>
    </w:p>
    <w:p w14:paraId="0A47CABF"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Según cuestionarios estandarizados, la calidad de vida de las personas con este síndrome es inferior incluso a la de pacientes con enfermedades crónicas como el reflujo gastroesofágico, la hepatitis, diabetes, migraña y pancreatitis crónica. Estos pacientes también presentan niveles más altos de ansiedad, depresión y somatización, así como una menor vitalidad y autoestima, lo que puede limitar su expresión emocional y su participación en actividades sociales.</w:t>
      </w:r>
    </w:p>
    <w:p w14:paraId="7F39C066"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Además de los impactos en la calidad de vida, estudios, incluyendo algunos realizados en nuestro país, muestran importantes implicaciones socioeconómicas. En promedio, los pacientes con Síndrome de Intestino Irritable se ausentan del trabajo o los estudios entre 8.5 y 21.6 días al año.</w:t>
      </w:r>
    </w:p>
    <w:p w14:paraId="6597000A"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 diagnóstico de este síndrome suele requerir múltiples consultas médicas, con un promedio de cinco estudios previos por paciente.</w:t>
      </w:r>
    </w:p>
    <w:p w14:paraId="6CE96A8E" w14:textId="77777777" w:rsidR="00F2150C"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Por tanto, elaborar una guía basada en evidencia científica para el personal de salud de la Universidad, que facilite el diagnóstico temprano y el inicio oportuno del </w:t>
      </w:r>
      <w:sdt>
        <w:sdtPr>
          <w:rPr>
            <w:rFonts w:ascii="Century Gothic" w:hAnsi="Century Gothic"/>
            <w:sz w:val="24"/>
            <w:szCs w:val="24"/>
          </w:rPr>
          <w:tag w:val="goog_rdk_1"/>
          <w:id w:val="-2079666874"/>
        </w:sdtPr>
        <w:sdtEndPr/>
        <w:sdtContent/>
      </w:sdt>
      <w:r w:rsidRPr="0016703E">
        <w:rPr>
          <w:rFonts w:ascii="Century Gothic" w:eastAsia="Arial" w:hAnsi="Century Gothic" w:cs="Arial"/>
          <w:sz w:val="24"/>
          <w:szCs w:val="24"/>
        </w:rPr>
        <w:t>tratamiento adecuado, contribuirá significativamente a mejorar la calidad de vida de la comunidad universitaria.</w:t>
      </w:r>
    </w:p>
    <w:p w14:paraId="0530BD0C" w14:textId="77777777" w:rsid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p>
    <w:p w14:paraId="10BDF22B" w14:textId="77777777" w:rsidR="0016703E" w:rsidRPr="0016703E" w:rsidRDefault="0016703E"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 xml:space="preserve">OBJETIVO </w:t>
      </w:r>
    </w:p>
    <w:p w14:paraId="62000CD9" w14:textId="77777777" w:rsidR="0016703E" w:rsidRPr="0016703E" w:rsidRDefault="004636B9"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sdt>
        <w:sdtPr>
          <w:rPr>
            <w:rFonts w:ascii="Century Gothic" w:hAnsi="Century Gothic"/>
            <w:sz w:val="24"/>
            <w:szCs w:val="24"/>
          </w:rPr>
          <w:tag w:val="goog_rdk_0"/>
          <w:id w:val="-58094947"/>
        </w:sdtPr>
        <w:sdtEndPr/>
        <w:sdtContent/>
      </w:sdt>
    </w:p>
    <w:p w14:paraId="36F9C7A2" w14:textId="77777777" w:rsidR="0016703E" w:rsidRPr="0016703E" w:rsidRDefault="0016703E"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color w:val="0D0D0D"/>
          <w:sz w:val="24"/>
          <w:szCs w:val="24"/>
          <w:highlight w:val="white"/>
        </w:rPr>
        <w:t>Esta guía tiene como objetivo orientar al personal de salud que brinda servicios de atención en la Universidad Católica de Manizales para abordar de manera adecuada el síndrome de intestino irritable.</w:t>
      </w:r>
    </w:p>
    <w:p w14:paraId="2860482F" w14:textId="77777777" w:rsidR="0016703E" w:rsidRP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highlight w:val="yellow"/>
        </w:rPr>
      </w:pPr>
    </w:p>
    <w:p w14:paraId="51A9AB24" w14:textId="77777777" w:rsidR="00F2150C" w:rsidRPr="0016703E" w:rsidRDefault="00F2150C" w:rsidP="0016703E">
      <w:pPr>
        <w:spacing w:after="0" w:line="240" w:lineRule="auto"/>
        <w:jc w:val="both"/>
        <w:rPr>
          <w:rFonts w:ascii="Century Gothic" w:eastAsia="Arial" w:hAnsi="Century Gothic" w:cs="Arial"/>
          <w:sz w:val="24"/>
          <w:szCs w:val="24"/>
        </w:rPr>
      </w:pPr>
    </w:p>
    <w:p w14:paraId="75177119"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0" w:name="_heading=h.1fob9te" w:colFirst="0" w:colLast="0"/>
      <w:bookmarkEnd w:id="0"/>
      <w:r w:rsidRPr="0016703E">
        <w:rPr>
          <w:rFonts w:ascii="Century Gothic" w:eastAsia="Arial" w:hAnsi="Century Gothic" w:cs="Arial"/>
          <w:sz w:val="24"/>
          <w:szCs w:val="24"/>
        </w:rPr>
        <w:t>ALCANCE</w:t>
      </w:r>
    </w:p>
    <w:p w14:paraId="6A6A14F8" w14:textId="77777777" w:rsidR="00B51E8F" w:rsidRPr="0016703E" w:rsidRDefault="00B51E8F" w:rsidP="0016703E">
      <w:pPr>
        <w:pStyle w:val="Ttulo1"/>
        <w:spacing w:before="0" w:beforeAutospacing="0" w:after="0" w:afterAutospacing="0"/>
        <w:rPr>
          <w:rFonts w:ascii="Century Gothic" w:eastAsia="Arial" w:hAnsi="Century Gothic" w:cs="Arial"/>
          <w:sz w:val="24"/>
          <w:szCs w:val="24"/>
        </w:rPr>
      </w:pPr>
    </w:p>
    <w:p w14:paraId="1F5AB0F0" w14:textId="77777777" w:rsidR="00F2150C" w:rsidRDefault="00D84AD5" w:rsidP="0016703E">
      <w:pPr>
        <w:spacing w:after="0" w:line="240" w:lineRule="auto"/>
        <w:jc w:val="both"/>
        <w:rPr>
          <w:rFonts w:ascii="Century Gothic" w:eastAsia="Arial" w:hAnsi="Century Gothic" w:cs="Arial"/>
          <w:color w:val="0D0D0D"/>
          <w:sz w:val="24"/>
          <w:szCs w:val="24"/>
          <w:highlight w:val="white"/>
        </w:rPr>
      </w:pPr>
      <w:r w:rsidRPr="0016703E">
        <w:rPr>
          <w:rFonts w:ascii="Century Gothic" w:eastAsia="Arial" w:hAnsi="Century Gothic" w:cs="Arial"/>
          <w:color w:val="0D0D0D"/>
          <w:sz w:val="24"/>
          <w:szCs w:val="24"/>
          <w:highlight w:val="white"/>
        </w:rPr>
        <w:t xml:space="preserve">Esta guía es pertinente para la población adolescente, joven y adulta, sin importar su sexo, raza, origen o situación social. Está destinada para aquellos </w:t>
      </w:r>
      <w:r w:rsidRPr="0016703E">
        <w:rPr>
          <w:rFonts w:ascii="Century Gothic" w:eastAsia="Arial" w:hAnsi="Century Gothic" w:cs="Arial"/>
          <w:color w:val="0D0D0D"/>
          <w:sz w:val="24"/>
          <w:szCs w:val="24"/>
          <w:highlight w:val="white"/>
        </w:rPr>
        <w:lastRenderedPageBreak/>
        <w:t>que utilizan los servicios médicos de la universidad, y las intervenciones sugeridas deben ser implementadas por todos los profesionales responsables de su atención.</w:t>
      </w:r>
    </w:p>
    <w:p w14:paraId="761D97D4" w14:textId="77777777" w:rsidR="00B51E8F" w:rsidRDefault="00B51E8F" w:rsidP="0016703E">
      <w:pPr>
        <w:spacing w:after="0" w:line="240" w:lineRule="auto"/>
        <w:jc w:val="both"/>
        <w:rPr>
          <w:rFonts w:ascii="Century Gothic" w:eastAsia="Arial" w:hAnsi="Century Gothic" w:cs="Arial"/>
          <w:color w:val="0D0D0D"/>
          <w:sz w:val="24"/>
          <w:szCs w:val="24"/>
          <w:highlight w:val="white"/>
        </w:rPr>
      </w:pPr>
    </w:p>
    <w:p w14:paraId="5FBD4589" w14:textId="2525CFBE" w:rsidR="00B51E8F" w:rsidRDefault="00B51E8F" w:rsidP="0016703E">
      <w:pPr>
        <w:spacing w:after="0" w:line="240" w:lineRule="auto"/>
        <w:jc w:val="both"/>
        <w:rPr>
          <w:rFonts w:ascii="Century Gothic" w:eastAsia="Arial" w:hAnsi="Century Gothic" w:cs="Arial"/>
          <w:b/>
          <w:bCs/>
          <w:color w:val="0D0D0D"/>
          <w:sz w:val="24"/>
          <w:szCs w:val="24"/>
          <w:highlight w:val="white"/>
        </w:rPr>
      </w:pPr>
      <w:r w:rsidRPr="00B51E8F">
        <w:rPr>
          <w:rFonts w:ascii="Century Gothic" w:eastAsia="Arial" w:hAnsi="Century Gothic" w:cs="Arial"/>
          <w:b/>
          <w:bCs/>
          <w:color w:val="0D0D0D"/>
          <w:sz w:val="24"/>
          <w:szCs w:val="24"/>
          <w:highlight w:val="white"/>
        </w:rPr>
        <w:t xml:space="preserve">RESPONSABLE </w:t>
      </w:r>
    </w:p>
    <w:p w14:paraId="1DD723E1" w14:textId="77777777" w:rsidR="00B51E8F" w:rsidRDefault="00B51E8F" w:rsidP="0016703E">
      <w:pPr>
        <w:spacing w:after="0" w:line="240" w:lineRule="auto"/>
        <w:jc w:val="both"/>
        <w:rPr>
          <w:rFonts w:ascii="Century Gothic" w:eastAsia="Arial" w:hAnsi="Century Gothic" w:cs="Arial"/>
          <w:b/>
          <w:bCs/>
          <w:color w:val="0D0D0D"/>
          <w:sz w:val="24"/>
          <w:szCs w:val="24"/>
          <w:highlight w:val="white"/>
        </w:rPr>
      </w:pPr>
    </w:p>
    <w:p w14:paraId="3E89EA2C" w14:textId="4EF5B854" w:rsidR="00B51E8F" w:rsidRPr="00B51E8F" w:rsidRDefault="00B51E8F" w:rsidP="0016703E">
      <w:pPr>
        <w:spacing w:after="0" w:line="240" w:lineRule="auto"/>
        <w:jc w:val="both"/>
        <w:rPr>
          <w:rFonts w:ascii="Century Gothic" w:eastAsia="Arial" w:hAnsi="Century Gothic" w:cs="Arial"/>
          <w:color w:val="0D0D0D"/>
          <w:sz w:val="24"/>
          <w:szCs w:val="24"/>
          <w:highlight w:val="white"/>
        </w:rPr>
      </w:pPr>
      <w:r w:rsidRPr="00B51E8F">
        <w:rPr>
          <w:rFonts w:ascii="Century Gothic" w:eastAsia="Arial" w:hAnsi="Century Gothic" w:cs="Arial"/>
          <w:color w:val="0D0D0D"/>
          <w:sz w:val="24"/>
          <w:szCs w:val="24"/>
          <w:highlight w:val="white"/>
        </w:rPr>
        <w:t xml:space="preserve">Medico de los servicios de salud. </w:t>
      </w:r>
    </w:p>
    <w:p w14:paraId="7542AD8B" w14:textId="77777777" w:rsidR="00F2150C" w:rsidRPr="0016703E" w:rsidRDefault="00F2150C" w:rsidP="0016703E">
      <w:pPr>
        <w:spacing w:after="0" w:line="240" w:lineRule="auto"/>
        <w:jc w:val="both"/>
        <w:rPr>
          <w:rFonts w:ascii="Century Gothic" w:eastAsia="Arial" w:hAnsi="Century Gothic" w:cs="Arial"/>
          <w:sz w:val="24"/>
          <w:szCs w:val="24"/>
        </w:rPr>
      </w:pPr>
    </w:p>
    <w:p w14:paraId="1A089CD8"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1" w:name="_heading=h.3znysh7" w:colFirst="0" w:colLast="0"/>
      <w:bookmarkEnd w:id="1"/>
      <w:r w:rsidRPr="0016703E">
        <w:rPr>
          <w:rFonts w:ascii="Century Gothic" w:eastAsia="Arial" w:hAnsi="Century Gothic" w:cs="Arial"/>
          <w:sz w:val="24"/>
          <w:szCs w:val="24"/>
        </w:rPr>
        <w:t>DEFINICIÓN</w:t>
      </w:r>
    </w:p>
    <w:p w14:paraId="35FA898B" w14:textId="77777777" w:rsidR="00B51E8F" w:rsidRPr="0016703E" w:rsidRDefault="00B51E8F" w:rsidP="0016703E">
      <w:pPr>
        <w:pStyle w:val="Ttulo1"/>
        <w:spacing w:before="0" w:beforeAutospacing="0" w:after="0" w:afterAutospacing="0"/>
        <w:rPr>
          <w:rFonts w:ascii="Century Gothic" w:eastAsia="Arial" w:hAnsi="Century Gothic" w:cs="Arial"/>
          <w:sz w:val="24"/>
          <w:szCs w:val="24"/>
        </w:rPr>
      </w:pPr>
    </w:p>
    <w:p w14:paraId="5775BAF2" w14:textId="77777777" w:rsidR="00F2150C" w:rsidRDefault="004636B9" w:rsidP="0016703E">
      <w:pPr>
        <w:pStyle w:val="Ttulo1"/>
        <w:spacing w:before="0" w:beforeAutospacing="0" w:after="0" w:afterAutospacing="0"/>
        <w:jc w:val="both"/>
        <w:rPr>
          <w:rFonts w:ascii="Century Gothic" w:eastAsia="Arial" w:hAnsi="Century Gothic" w:cs="Arial"/>
          <w:b w:val="0"/>
          <w:color w:val="000000"/>
          <w:sz w:val="24"/>
          <w:szCs w:val="24"/>
        </w:rPr>
      </w:pPr>
      <w:sdt>
        <w:sdtPr>
          <w:rPr>
            <w:rFonts w:ascii="Century Gothic" w:hAnsi="Century Gothic"/>
            <w:sz w:val="24"/>
            <w:szCs w:val="24"/>
          </w:rPr>
          <w:tag w:val="goog_rdk_2"/>
          <w:id w:val="303665003"/>
        </w:sdtPr>
        <w:sdtEndPr/>
        <w:sdtContent/>
      </w:sdt>
      <w:r w:rsidR="00D84AD5" w:rsidRPr="0016703E">
        <w:rPr>
          <w:rFonts w:ascii="Century Gothic" w:eastAsia="Arial" w:hAnsi="Century Gothic" w:cs="Arial"/>
          <w:b w:val="0"/>
          <w:color w:val="000000"/>
          <w:sz w:val="24"/>
          <w:szCs w:val="24"/>
        </w:rPr>
        <w:t xml:space="preserve">El síndrome del intestino irritable (SII) es una enfermedad crónica, orgánica, multifactorial, con un impacto negativo en la calidad de vida; antes se consideraba un trastorno funcional digestivo, sin embargo, el </w:t>
      </w:r>
      <w:r w:rsidR="00D84AD5" w:rsidRPr="0016703E">
        <w:rPr>
          <w:rFonts w:ascii="Century Gothic" w:eastAsia="Arial" w:hAnsi="Century Gothic" w:cs="Arial"/>
          <w:b w:val="0"/>
          <w:sz w:val="24"/>
          <w:szCs w:val="24"/>
        </w:rPr>
        <w:t>término</w:t>
      </w:r>
      <w:r w:rsidR="00D84AD5" w:rsidRPr="0016703E">
        <w:rPr>
          <w:rFonts w:ascii="Century Gothic" w:eastAsia="Arial" w:hAnsi="Century Gothic" w:cs="Arial"/>
          <w:b w:val="0"/>
          <w:color w:val="000000"/>
          <w:sz w:val="24"/>
          <w:szCs w:val="24"/>
        </w:rPr>
        <w:t xml:space="preserve"> funcional fue reemplazado por orgánico debido a su interpretación. El SII es caracterizado por dolor abdominal crónico y alteraciones en el hábito deposicional sea en frecuencia y/o consistencia (1). </w:t>
      </w:r>
    </w:p>
    <w:p w14:paraId="06BC8AA5"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5A91C3C2"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Estudios muestran un aumento de linfocitos intraepiteliales y mastocitos en el colon de pacientes con SII, sugiriendo que la microinflamación podría contribuir a la hipersensibilidad de las terminaciones nerviosas intestinales, exacerbando los síntomas; considerando el SII como un trastorno de la interacción del eje intestino cerebro.</w:t>
      </w:r>
    </w:p>
    <w:p w14:paraId="7718B5B0"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250FCE42"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Dentro de las alteraciones orgánicas en el SII se encuentran las siguientes: Alteración de la motilidad gastrointestinal, hipersensibilidad visceral, inflamación intestinal de bajo grado, infecciones gastrointestinales previas, alteraciones genéticas y epigenéticas, alteración de la absorción de sales biliares, alteración del microbioma, sobrecrecimiento bacteriano del intestino delgado, respuesta inmunológica anormal a componentes de la dieta, alteración de la interacción del eje intestino cerebro, activación del sistema inmune y autoinmunidad (1).</w:t>
      </w:r>
    </w:p>
    <w:p w14:paraId="1A3FE411"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6A687937" w14:textId="77777777" w:rsidR="00F2150C" w:rsidRPr="0016703E"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Aunque no se comprenden completamente los cambios detectados en los exámenes diagnósticos, el SII se subdivide según el síntoma predominante: constipación, diarrea, alternancia entre ambos (SII mixto) o deposiciones que no se clasifican como diarrea ni estreñimiento (SII indeterminado) (2,3).</w:t>
      </w:r>
    </w:p>
    <w:p w14:paraId="44FF1882" w14:textId="77777777" w:rsidR="00F2150C" w:rsidRPr="0016703E"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 xml:space="preserve">La etiología del SII generalmente es desconocida, pero puede estar relacionada con antecedentes de estrés o una gastroenteritis aguda, y factores genéticos y ambientales también pueden influir en su desarrollo. El </w:t>
      </w:r>
      <w:r w:rsidRPr="0016703E">
        <w:rPr>
          <w:rFonts w:ascii="Century Gothic" w:eastAsia="Arial" w:hAnsi="Century Gothic" w:cs="Arial"/>
          <w:b w:val="0"/>
          <w:color w:val="000000"/>
          <w:sz w:val="24"/>
          <w:szCs w:val="24"/>
        </w:rPr>
        <w:lastRenderedPageBreak/>
        <w:t>impacto en la vida del paciente es significativo, siendo la segunda causa más común de ausentismo laboral.</w:t>
      </w:r>
    </w:p>
    <w:p w14:paraId="095C11CA"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sz w:val="24"/>
          <w:szCs w:val="24"/>
        </w:rPr>
        <w:t xml:space="preserve">A nivel mundial la prevalencia de SII es de 10-15% y a nivel nacional del 4,3%, </w:t>
      </w:r>
      <w:r w:rsidRPr="0016703E">
        <w:rPr>
          <w:rFonts w:ascii="Century Gothic" w:eastAsia="Arial" w:hAnsi="Century Gothic" w:cs="Arial"/>
          <w:b w:val="0"/>
          <w:color w:val="000000"/>
          <w:sz w:val="24"/>
          <w:szCs w:val="24"/>
        </w:rPr>
        <w:t>con una menor incidencia en adultos mayores de 50 años y una mayor prevalencia en mujeres en comparación con hombres (4-</w:t>
      </w:r>
      <w:r w:rsidRPr="0016703E">
        <w:rPr>
          <w:rFonts w:ascii="Century Gothic" w:eastAsia="Arial" w:hAnsi="Century Gothic" w:cs="Arial"/>
          <w:b w:val="0"/>
          <w:sz w:val="24"/>
          <w:szCs w:val="24"/>
        </w:rPr>
        <w:t>7</w:t>
      </w:r>
      <w:r w:rsidRPr="0016703E">
        <w:rPr>
          <w:rFonts w:ascii="Century Gothic" w:eastAsia="Arial" w:hAnsi="Century Gothic" w:cs="Arial"/>
          <w:b w:val="0"/>
          <w:color w:val="000000"/>
          <w:sz w:val="24"/>
          <w:szCs w:val="24"/>
        </w:rPr>
        <w:t>).</w:t>
      </w:r>
    </w:p>
    <w:p w14:paraId="1B02ABBE" w14:textId="77777777" w:rsidR="00B51E8F" w:rsidRDefault="00B51E8F" w:rsidP="0016703E">
      <w:pPr>
        <w:pStyle w:val="Ttulo1"/>
        <w:spacing w:before="0" w:beforeAutospacing="0" w:after="0" w:afterAutospacing="0"/>
        <w:jc w:val="both"/>
        <w:rPr>
          <w:rFonts w:ascii="Century Gothic" w:hAnsi="Century Gothic"/>
          <w:sz w:val="24"/>
          <w:szCs w:val="24"/>
        </w:rPr>
      </w:pPr>
    </w:p>
    <w:p w14:paraId="0C9A1249" w14:textId="5DA9796D" w:rsidR="00B51E8F" w:rsidRDefault="00B51E8F" w:rsidP="0016703E">
      <w:pPr>
        <w:pStyle w:val="Ttulo1"/>
        <w:spacing w:before="0" w:beforeAutospacing="0" w:after="0" w:afterAutospacing="0"/>
        <w:jc w:val="both"/>
        <w:rPr>
          <w:rFonts w:ascii="Century Gothic" w:hAnsi="Century Gothic"/>
          <w:sz w:val="24"/>
          <w:szCs w:val="24"/>
        </w:rPr>
      </w:pPr>
      <w:r>
        <w:rPr>
          <w:rFonts w:ascii="Century Gothic" w:hAnsi="Century Gothic"/>
          <w:sz w:val="24"/>
          <w:szCs w:val="24"/>
        </w:rPr>
        <w:t xml:space="preserve">INORMACIÓN GENERAL </w:t>
      </w:r>
    </w:p>
    <w:p w14:paraId="47FCC6E8" w14:textId="77777777" w:rsidR="00B51E8F" w:rsidRPr="0016703E" w:rsidRDefault="00B51E8F" w:rsidP="0016703E">
      <w:pPr>
        <w:pStyle w:val="Ttulo1"/>
        <w:spacing w:before="0" w:beforeAutospacing="0" w:after="0" w:afterAutospacing="0"/>
        <w:jc w:val="both"/>
        <w:rPr>
          <w:rFonts w:ascii="Century Gothic" w:hAnsi="Century Gothic"/>
          <w:sz w:val="24"/>
          <w:szCs w:val="24"/>
        </w:rPr>
      </w:pPr>
    </w:p>
    <w:p w14:paraId="2C232EB4" w14:textId="77777777" w:rsidR="00F2150C" w:rsidRPr="0016703E" w:rsidRDefault="00D84AD5"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SINTOMATOLOGÍA</w:t>
      </w:r>
    </w:p>
    <w:p w14:paraId="5CC36B55" w14:textId="77777777" w:rsidR="00F2150C" w:rsidRDefault="00D84AD5" w:rsidP="0016703E">
      <w:pPr>
        <w:pStyle w:val="Ttulo1"/>
        <w:spacing w:before="0" w:beforeAutospacing="0" w:after="0" w:afterAutospacing="0"/>
        <w:jc w:val="both"/>
        <w:rPr>
          <w:rFonts w:ascii="Century Gothic" w:eastAsia="Arial" w:hAnsi="Century Gothic" w:cs="Arial"/>
          <w:b w:val="0"/>
          <w:sz w:val="24"/>
          <w:szCs w:val="24"/>
        </w:rPr>
      </w:pPr>
      <w:r w:rsidRPr="0016703E">
        <w:rPr>
          <w:rFonts w:ascii="Century Gothic" w:eastAsia="Arial" w:hAnsi="Century Gothic" w:cs="Arial"/>
          <w:b w:val="0"/>
          <w:sz w:val="24"/>
          <w:szCs w:val="24"/>
        </w:rPr>
        <w:t>Los síntomas del SII deben presentarse durante los últimos tres meses con un seguimiento total de seis meses, se debe realizar una revisión completa de la historia clínica, en donde a todo paciente potencial a desarrollar SII, se le deben indagar los siguientes síntomas:</w:t>
      </w:r>
    </w:p>
    <w:p w14:paraId="58AF16C4" w14:textId="77777777" w:rsidR="00B51E8F" w:rsidRPr="0016703E" w:rsidRDefault="00B51E8F" w:rsidP="0016703E">
      <w:pPr>
        <w:pStyle w:val="Ttulo1"/>
        <w:spacing w:before="0" w:beforeAutospacing="0" w:after="0" w:afterAutospacing="0"/>
        <w:jc w:val="both"/>
        <w:rPr>
          <w:rFonts w:ascii="Century Gothic" w:eastAsia="Arial" w:hAnsi="Century Gothic" w:cs="Arial"/>
          <w:b w:val="0"/>
          <w:sz w:val="24"/>
          <w:szCs w:val="24"/>
        </w:rPr>
      </w:pPr>
    </w:p>
    <w:p w14:paraId="4FF981B5" w14:textId="77777777" w:rsidR="00F2150C" w:rsidRPr="0016703E" w:rsidRDefault="00D84AD5" w:rsidP="0016703E">
      <w:pPr>
        <w:numPr>
          <w:ilvl w:val="0"/>
          <w:numId w:val="6"/>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Dolor o malestar abdominal:</w:t>
      </w:r>
      <w:r w:rsidRPr="0016703E">
        <w:rPr>
          <w:rFonts w:ascii="Century Gothic" w:eastAsia="Arial" w:hAnsi="Century Gothic" w:cs="Arial"/>
          <w:color w:val="000000"/>
          <w:sz w:val="24"/>
          <w:szCs w:val="24"/>
        </w:rPr>
        <w:t xml:space="preserve"> El dolor o malestar abdominal es un síntoma exigido como criterio </w:t>
      </w:r>
      <w:r w:rsidRPr="0016703E">
        <w:rPr>
          <w:rFonts w:ascii="Century Gothic" w:eastAsia="Arial" w:hAnsi="Century Gothic" w:cs="Arial"/>
          <w:sz w:val="24"/>
          <w:szCs w:val="24"/>
        </w:rPr>
        <w:t>diagnóstico</w:t>
      </w:r>
      <w:r w:rsidRPr="0016703E">
        <w:rPr>
          <w:rFonts w:ascii="Century Gothic" w:eastAsia="Arial" w:hAnsi="Century Gothic" w:cs="Arial"/>
          <w:color w:val="000000"/>
          <w:sz w:val="24"/>
          <w:szCs w:val="24"/>
        </w:rPr>
        <w:t xml:space="preserve"> sin el cual no podemos hablar de SII. Suele describirse como sensación de calambres con intensidad variables y exacerbación periódica tipo cólico; la intensidad del dolor puede variar de acuerdo con la intensidad de las contracciones y es característico que el dolor se asocie con el momento de realizar la defecación bien sea para aumentarlo o para aliviarlo, de la misma manera el estrés emocional, pueden exacerbar los episodios. Por otra parte, puede presentarse distensión abdominal con aumento de las flatulencias o eructos (</w:t>
      </w:r>
      <w:r w:rsidRPr="0016703E">
        <w:rPr>
          <w:rFonts w:ascii="Century Gothic" w:eastAsia="Arial" w:hAnsi="Century Gothic" w:cs="Arial"/>
          <w:sz w:val="24"/>
          <w:szCs w:val="24"/>
        </w:rPr>
        <w:t>8-10</w:t>
      </w:r>
      <w:r w:rsidRPr="0016703E">
        <w:rPr>
          <w:rFonts w:ascii="Century Gothic" w:eastAsia="Arial" w:hAnsi="Century Gothic" w:cs="Arial"/>
          <w:color w:val="000000"/>
          <w:sz w:val="24"/>
          <w:szCs w:val="24"/>
        </w:rPr>
        <w:t>).</w:t>
      </w:r>
    </w:p>
    <w:p w14:paraId="31F1D0D3"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4E500DA" w14:textId="77777777" w:rsidR="00F2150C" w:rsidRPr="0016703E" w:rsidRDefault="00D84AD5" w:rsidP="0016703E">
      <w:pPr>
        <w:numPr>
          <w:ilvl w:val="0"/>
          <w:numId w:val="6"/>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Diarrea:</w:t>
      </w:r>
      <w:r w:rsidRPr="0016703E">
        <w:rPr>
          <w:rFonts w:ascii="Century Gothic" w:eastAsia="Arial" w:hAnsi="Century Gothic" w:cs="Arial"/>
          <w:color w:val="000000"/>
          <w:sz w:val="24"/>
          <w:szCs w:val="24"/>
        </w:rPr>
        <w:t xml:space="preserve"> La diarrea suele ser diurna, generalmente postprandial, semilíquida o líquida, acompañada en muchas ocasiones de urgencia defecatoria o tenesmo, y puede también ser precedida de dolor cólico abdominal. Este tipo de diarrea no se asocia a fiebre ni rectorragia, aunque puede existir mucorrea. Generalmente es de pequeño a moderado volumen (</w:t>
      </w:r>
      <w:r w:rsidRPr="0016703E">
        <w:rPr>
          <w:rFonts w:ascii="Century Gothic" w:eastAsia="Arial" w:hAnsi="Century Gothic" w:cs="Arial"/>
          <w:sz w:val="24"/>
          <w:szCs w:val="24"/>
        </w:rPr>
        <w:t>11</w:t>
      </w:r>
      <w:r w:rsidRPr="0016703E">
        <w:rPr>
          <w:rFonts w:ascii="Century Gothic" w:eastAsia="Arial" w:hAnsi="Century Gothic" w:cs="Arial"/>
          <w:color w:val="000000"/>
          <w:sz w:val="24"/>
          <w:szCs w:val="24"/>
        </w:rPr>
        <w:t>).</w:t>
      </w:r>
    </w:p>
    <w:p w14:paraId="005E68A4"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 </w:t>
      </w:r>
    </w:p>
    <w:p w14:paraId="40E10CF5" w14:textId="77777777"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Estreñimiento:</w:t>
      </w:r>
      <w:r w:rsidRPr="0016703E">
        <w:rPr>
          <w:rFonts w:ascii="Century Gothic" w:eastAsia="Arial" w:hAnsi="Century Gothic" w:cs="Arial"/>
          <w:color w:val="000000"/>
          <w:sz w:val="24"/>
          <w:szCs w:val="24"/>
        </w:rPr>
        <w:t xml:space="preserve"> El estreñimiento suele ser de heces duras como en forma de bolitas, que se eliminan con esfuerzo defecatorio, tenesmo y que se puede acompañar con mucosidad sin sangre.</w:t>
      </w:r>
    </w:p>
    <w:p w14:paraId="14BAE162"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 </w:t>
      </w:r>
    </w:p>
    <w:p w14:paraId="60652E50"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Cuando se interroga al paciente se debe evaluar de acuerdo con la escala de Bristol, en la cual se establecen siete tipos de deposiciones </w:t>
      </w:r>
      <w:r w:rsidRPr="0016703E">
        <w:rPr>
          <w:rFonts w:ascii="Century Gothic" w:eastAsia="Arial" w:hAnsi="Century Gothic" w:cs="Arial"/>
          <w:color w:val="000000"/>
          <w:sz w:val="24"/>
          <w:szCs w:val="24"/>
        </w:rPr>
        <w:lastRenderedPageBreak/>
        <w:t>que van desde compactas en forma de bola, hasta completamente líquidas y acuosas:</w:t>
      </w:r>
    </w:p>
    <w:p w14:paraId="24AE985E"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91817CD"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hAnsi="Century Gothic"/>
          <w:noProof/>
          <w:sz w:val="24"/>
          <w:szCs w:val="24"/>
        </w:rPr>
        <w:drawing>
          <wp:anchor distT="0" distB="0" distL="114300" distR="114300" simplePos="0" relativeHeight="251658240" behindDoc="0" locked="0" layoutInCell="1" hidden="0" allowOverlap="1" wp14:anchorId="3C7981E6" wp14:editId="1C791778">
            <wp:simplePos x="0" y="0"/>
            <wp:positionH relativeFrom="column">
              <wp:posOffset>862965</wp:posOffset>
            </wp:positionH>
            <wp:positionV relativeFrom="paragraph">
              <wp:posOffset>15240</wp:posOffset>
            </wp:positionV>
            <wp:extent cx="3886200" cy="2990850"/>
            <wp:effectExtent l="0" t="0" r="0" b="0"/>
            <wp:wrapSquare wrapText="bothSides" distT="0" distB="0" distL="114300" distR="114300"/>
            <wp:docPr id="1709465734" name="image5.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10;&#10;Descripción generada automáticamente"/>
                    <pic:cNvPicPr preferRelativeResize="0"/>
                  </pic:nvPicPr>
                  <pic:blipFill>
                    <a:blip r:embed="rId8"/>
                    <a:srcRect l="29192" t="21639" r="29905" b="22596"/>
                    <a:stretch>
                      <a:fillRect/>
                    </a:stretch>
                  </pic:blipFill>
                  <pic:spPr>
                    <a:xfrm>
                      <a:off x="0" y="0"/>
                      <a:ext cx="3886200" cy="2990850"/>
                    </a:xfrm>
                    <a:prstGeom prst="rect">
                      <a:avLst/>
                    </a:prstGeom>
                    <a:ln/>
                  </pic:spPr>
                </pic:pic>
              </a:graphicData>
            </a:graphic>
          </wp:anchor>
        </w:drawing>
      </w:r>
    </w:p>
    <w:p w14:paraId="0C560285"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AAB6322"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C06FFBE"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38E078C"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AC45282"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089E3E77"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9CF0AA9"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6D8CE69"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67363E4"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3CC0230"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47CB58A"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1F4D61A0"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6A6FF94"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FA7C367"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2004352"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color w:val="000000"/>
          <w:sz w:val="24"/>
          <w:szCs w:val="24"/>
        </w:rPr>
      </w:pPr>
    </w:p>
    <w:p w14:paraId="2AEBF1AA" w14:textId="77777777" w:rsidR="003976DD" w:rsidRDefault="003976DD"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F239933" w14:textId="33DFC742"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Escala de Bristol de las heces</w:t>
      </w:r>
    </w:p>
    <w:p w14:paraId="53B90F65"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Fuente: </w:t>
      </w:r>
      <w:r w:rsidRPr="0016703E">
        <w:rPr>
          <w:rFonts w:ascii="Century Gothic" w:eastAsia="Arial" w:hAnsi="Century Gothic" w:cs="Arial"/>
          <w:sz w:val="24"/>
          <w:szCs w:val="24"/>
        </w:rPr>
        <w:t>Otero R. W, Otero P. L, Marulanda F. H (1).</w:t>
      </w:r>
    </w:p>
    <w:p w14:paraId="7D9075AC"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9FF3B7A" w14:textId="77777777"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Otros síntomas digestivos:</w:t>
      </w:r>
      <w:r w:rsidRPr="0016703E">
        <w:rPr>
          <w:rFonts w:ascii="Century Gothic" w:eastAsia="Arial" w:hAnsi="Century Gothic" w:cs="Arial"/>
          <w:color w:val="000000"/>
          <w:sz w:val="24"/>
          <w:szCs w:val="24"/>
        </w:rPr>
        <w:t xml:space="preserve"> La distensión abdominal puede ser muy llamativa en algunos enfermos. Ta</w:t>
      </w:r>
      <w:r w:rsidRPr="0016703E">
        <w:rPr>
          <w:rFonts w:ascii="Century Gothic" w:eastAsia="Arial" w:hAnsi="Century Gothic" w:cs="Arial"/>
          <w:color w:val="000000"/>
          <w:sz w:val="24"/>
          <w:szCs w:val="24"/>
          <w:highlight w:val="white"/>
        </w:rPr>
        <w:t xml:space="preserve">mbién es común que estos pacientes </w:t>
      </w:r>
      <w:r w:rsidRPr="0016703E">
        <w:rPr>
          <w:rFonts w:ascii="Century Gothic" w:eastAsia="Arial" w:hAnsi="Century Gothic" w:cs="Arial"/>
          <w:sz w:val="24"/>
          <w:szCs w:val="24"/>
          <w:highlight w:val="white"/>
        </w:rPr>
        <w:t>aquejan</w:t>
      </w:r>
      <w:r w:rsidRPr="0016703E">
        <w:rPr>
          <w:rFonts w:ascii="Century Gothic" w:eastAsia="Arial" w:hAnsi="Century Gothic" w:cs="Arial"/>
          <w:color w:val="000000"/>
          <w:sz w:val="24"/>
          <w:szCs w:val="24"/>
          <w:highlight w:val="white"/>
        </w:rPr>
        <w:t xml:space="preserve"> síntomas digestivos como la pirosis, presente hasta en el 46.5% de los pacientes, o bien trastornos funcionales como la dispepsia funcional, que se puede observar hasta en el 47,6% de los pacientes con S</w:t>
      </w:r>
      <w:r w:rsidRPr="0016703E">
        <w:rPr>
          <w:rFonts w:ascii="Century Gothic" w:eastAsia="Arial" w:hAnsi="Century Gothic" w:cs="Arial"/>
          <w:sz w:val="24"/>
          <w:szCs w:val="24"/>
          <w:highlight w:val="white"/>
        </w:rPr>
        <w:t>II</w:t>
      </w:r>
      <w:r w:rsidRPr="0016703E">
        <w:rPr>
          <w:rFonts w:ascii="Century Gothic" w:eastAsia="Arial" w:hAnsi="Century Gothic" w:cs="Arial"/>
          <w:color w:val="000000"/>
          <w:sz w:val="24"/>
          <w:szCs w:val="24"/>
          <w:highlight w:val="white"/>
        </w:rPr>
        <w:t xml:space="preserve">. </w:t>
      </w:r>
    </w:p>
    <w:p w14:paraId="3F9971B1" w14:textId="77777777" w:rsidR="00F2150C" w:rsidRPr="0016703E" w:rsidRDefault="00F2150C" w:rsidP="0016703E">
      <w:pPr>
        <w:spacing w:after="0" w:line="240" w:lineRule="auto"/>
        <w:jc w:val="both"/>
        <w:rPr>
          <w:rFonts w:ascii="Century Gothic" w:eastAsia="Arial" w:hAnsi="Century Gothic" w:cs="Arial"/>
          <w:sz w:val="24"/>
          <w:szCs w:val="24"/>
        </w:rPr>
      </w:pPr>
    </w:p>
    <w:p w14:paraId="7CAB59E1" w14:textId="599AF5C1"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b/>
          <w:color w:val="000000"/>
          <w:sz w:val="24"/>
          <w:szCs w:val="24"/>
        </w:rPr>
      </w:pPr>
      <w:r w:rsidRPr="0016703E">
        <w:rPr>
          <w:rFonts w:ascii="Century Gothic" w:eastAsia="Arial" w:hAnsi="Century Gothic" w:cs="Arial"/>
          <w:color w:val="000000"/>
          <w:sz w:val="24"/>
          <w:szCs w:val="24"/>
        </w:rPr>
        <w:t xml:space="preserve">Algunas manifestaciones clínicas extradigestivas son significativamente </w:t>
      </w:r>
      <w:r w:rsidRPr="0016703E">
        <w:rPr>
          <w:rFonts w:ascii="Century Gothic" w:eastAsia="Arial" w:hAnsi="Century Gothic" w:cs="Arial"/>
          <w:sz w:val="24"/>
          <w:szCs w:val="24"/>
        </w:rPr>
        <w:t>más</w:t>
      </w:r>
      <w:r w:rsidRPr="0016703E">
        <w:rPr>
          <w:rFonts w:ascii="Century Gothic" w:eastAsia="Arial" w:hAnsi="Century Gothic" w:cs="Arial"/>
          <w:color w:val="000000"/>
          <w:sz w:val="24"/>
          <w:szCs w:val="24"/>
        </w:rPr>
        <w:t xml:space="preserve"> frecuentes en los pacientes con SII que en la población general. El SII puede asociarse también a otras enfermedades extradigestivas entre las que cabe destacar la fibromialgia, presente en alrededor de 32.5% de </w:t>
      </w:r>
      <w:r w:rsidR="00107CAF" w:rsidRPr="0016703E">
        <w:rPr>
          <w:rFonts w:ascii="Century Gothic" w:eastAsia="Arial" w:hAnsi="Century Gothic" w:cs="Arial"/>
          <w:color w:val="000000"/>
          <w:sz w:val="24"/>
          <w:szCs w:val="24"/>
        </w:rPr>
        <w:t>los pacientes</w:t>
      </w:r>
      <w:r w:rsidRPr="0016703E">
        <w:rPr>
          <w:rFonts w:ascii="Century Gothic" w:eastAsia="Arial" w:hAnsi="Century Gothic" w:cs="Arial"/>
          <w:color w:val="000000"/>
          <w:sz w:val="24"/>
          <w:szCs w:val="24"/>
        </w:rPr>
        <w:t xml:space="preserve"> con SII, </w:t>
      </w:r>
      <w:r w:rsidR="003976DD" w:rsidRPr="0016703E">
        <w:rPr>
          <w:rFonts w:ascii="Century Gothic" w:eastAsia="Arial" w:hAnsi="Century Gothic" w:cs="Arial"/>
          <w:color w:val="000000"/>
          <w:sz w:val="24"/>
          <w:szCs w:val="24"/>
        </w:rPr>
        <w:t>el síndrome</w:t>
      </w:r>
      <w:r w:rsidRPr="0016703E">
        <w:rPr>
          <w:rFonts w:ascii="Century Gothic" w:eastAsia="Arial" w:hAnsi="Century Gothic" w:cs="Arial"/>
          <w:color w:val="000000"/>
          <w:sz w:val="24"/>
          <w:szCs w:val="24"/>
        </w:rPr>
        <w:t xml:space="preserve"> de fatiga crónica en un 51%, el dolor abdominal pélvico crónico, observado en el 49,9% de las mujeres que padecen de SII, o la disfunción temporomandibular.</w:t>
      </w:r>
    </w:p>
    <w:p w14:paraId="54A410FC"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p>
    <w:p w14:paraId="352C8451" w14:textId="77777777" w:rsidR="00F2150C" w:rsidRPr="0016703E" w:rsidRDefault="00D84AD5"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r w:rsidRPr="0016703E">
        <w:rPr>
          <w:rFonts w:ascii="Century Gothic" w:eastAsia="Arial" w:hAnsi="Century Gothic" w:cs="Arial"/>
          <w:b/>
          <w:sz w:val="24"/>
          <w:szCs w:val="24"/>
        </w:rPr>
        <w:lastRenderedPageBreak/>
        <w:t>Síntomas y signos de alarma (bandera roja)</w:t>
      </w:r>
    </w:p>
    <w:p w14:paraId="07DCD911" w14:textId="77777777" w:rsidR="00F2150C" w:rsidRPr="0016703E" w:rsidRDefault="00D84AD5"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r w:rsidRPr="0016703E">
        <w:rPr>
          <w:rFonts w:ascii="Century Gothic" w:hAnsi="Century Gothic"/>
          <w:noProof/>
          <w:sz w:val="24"/>
          <w:szCs w:val="24"/>
        </w:rPr>
        <w:drawing>
          <wp:inline distT="0" distB="0" distL="0" distR="0" wp14:anchorId="6C8611EF" wp14:editId="6E6AF8A1">
            <wp:extent cx="4181475" cy="3112770"/>
            <wp:effectExtent l="0" t="0" r="0" b="0"/>
            <wp:docPr id="1709465737"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9"/>
                    <a:srcRect l="46504" t="35267" r="12082" b="10138"/>
                    <a:stretch>
                      <a:fillRect/>
                    </a:stretch>
                  </pic:blipFill>
                  <pic:spPr>
                    <a:xfrm>
                      <a:off x="0" y="0"/>
                      <a:ext cx="4181475" cy="3112770"/>
                    </a:xfrm>
                    <a:prstGeom prst="rect">
                      <a:avLst/>
                    </a:prstGeom>
                    <a:ln/>
                  </pic:spPr>
                </pic:pic>
              </a:graphicData>
            </a:graphic>
          </wp:inline>
        </w:drawing>
      </w:r>
      <w:r w:rsidRPr="0016703E">
        <w:rPr>
          <w:rFonts w:ascii="Century Gothic" w:eastAsia="Arial" w:hAnsi="Century Gothic" w:cs="Arial"/>
          <w:b/>
          <w:color w:val="000000"/>
          <w:sz w:val="24"/>
          <w:szCs w:val="24"/>
        </w:rPr>
        <w:t xml:space="preserve"> </w:t>
      </w:r>
    </w:p>
    <w:p w14:paraId="3E801926"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sz w:val="24"/>
          <w:szCs w:val="24"/>
        </w:rPr>
      </w:pPr>
    </w:p>
    <w:p w14:paraId="53519494"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2. Síntomas y signos de alarma</w:t>
      </w:r>
    </w:p>
    <w:p w14:paraId="7BBDE06E" w14:textId="77777777" w:rsidR="00F2150C" w:rsidRPr="0016703E" w:rsidRDefault="00D84AD5" w:rsidP="0016703E">
      <w:pPr>
        <w:spacing w:after="0" w:line="240" w:lineRule="auto"/>
        <w:ind w:left="720"/>
        <w:jc w:val="both"/>
        <w:rPr>
          <w:rFonts w:ascii="Century Gothic" w:eastAsia="Arial" w:hAnsi="Century Gothic" w:cs="Arial"/>
          <w:b/>
          <w:sz w:val="24"/>
          <w:szCs w:val="24"/>
        </w:rPr>
      </w:pPr>
      <w:r w:rsidRPr="0016703E">
        <w:rPr>
          <w:rFonts w:ascii="Century Gothic" w:eastAsia="Arial" w:hAnsi="Century Gothic" w:cs="Arial"/>
          <w:sz w:val="24"/>
          <w:szCs w:val="24"/>
        </w:rPr>
        <w:t>Fuente: Otero R. W, Otero P. L, Marulanda F. H (1).</w:t>
      </w:r>
    </w:p>
    <w:p w14:paraId="3E57E707"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p>
    <w:p w14:paraId="4D46D62D"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Edad de inicio de síntomas o cambios en el hábito intestinal en pacientes mayores de 50 </w:t>
      </w:r>
      <w:proofErr w:type="gramStart"/>
      <w:r w:rsidRPr="0016703E">
        <w:rPr>
          <w:rFonts w:ascii="Century Gothic" w:eastAsia="Arial" w:hAnsi="Century Gothic" w:cs="Arial"/>
          <w:color w:val="000000"/>
          <w:sz w:val="24"/>
          <w:szCs w:val="24"/>
        </w:rPr>
        <w:t>años de edad</w:t>
      </w:r>
      <w:proofErr w:type="gramEnd"/>
      <w:r w:rsidRPr="0016703E">
        <w:rPr>
          <w:rFonts w:ascii="Century Gothic" w:eastAsia="Arial" w:hAnsi="Century Gothic" w:cs="Arial"/>
          <w:color w:val="000000"/>
          <w:sz w:val="24"/>
          <w:szCs w:val="24"/>
        </w:rPr>
        <w:t>.</w:t>
      </w:r>
    </w:p>
    <w:p w14:paraId="319365FF"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Pérdida ponderal </w:t>
      </w:r>
      <w:r w:rsidRPr="0016703E">
        <w:rPr>
          <w:rFonts w:ascii="Century Gothic" w:eastAsia="Arial" w:hAnsi="Century Gothic" w:cs="Arial"/>
          <w:sz w:val="24"/>
          <w:szCs w:val="24"/>
        </w:rPr>
        <w:t>involuntaria de más</w:t>
      </w:r>
      <w:r w:rsidRPr="0016703E">
        <w:rPr>
          <w:rFonts w:ascii="Century Gothic" w:eastAsia="Arial" w:hAnsi="Century Gothic" w:cs="Arial"/>
          <w:color w:val="000000"/>
          <w:sz w:val="24"/>
          <w:szCs w:val="24"/>
        </w:rPr>
        <w:t xml:space="preserve"> de 10% en 6 meses.</w:t>
      </w:r>
    </w:p>
    <w:p w14:paraId="7EBCC5D1"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Historia familiar de malignidad gastrointestinal.</w:t>
      </w:r>
    </w:p>
    <w:p w14:paraId="2AFDEF7E"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Fiebre.</w:t>
      </w:r>
    </w:p>
    <w:p w14:paraId="6AD98552"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Hematoque</w:t>
      </w:r>
      <w:r w:rsidRPr="0016703E">
        <w:rPr>
          <w:rFonts w:ascii="Century Gothic" w:eastAsia="Arial" w:hAnsi="Century Gothic" w:cs="Arial"/>
          <w:sz w:val="24"/>
          <w:szCs w:val="24"/>
        </w:rPr>
        <w:t>c</w:t>
      </w:r>
      <w:r w:rsidRPr="0016703E">
        <w:rPr>
          <w:rFonts w:ascii="Century Gothic" w:eastAsia="Arial" w:hAnsi="Century Gothic" w:cs="Arial"/>
          <w:color w:val="000000"/>
          <w:sz w:val="24"/>
          <w:szCs w:val="24"/>
        </w:rPr>
        <w:t>ia.</w:t>
      </w:r>
    </w:p>
    <w:p w14:paraId="35DC7EBF"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Diarrea asociada a deshidratación grave.</w:t>
      </w:r>
    </w:p>
    <w:p w14:paraId="66F724D9" w14:textId="77777777" w:rsidR="00F2150C"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Asociación con artritis, lesiones cutáneas, linfadenopatía, masa abdominal, síntomas nocturnos, anemia, leucocitosis o velocidad de sedimentación globular pro</w:t>
      </w:r>
      <w:r w:rsidRPr="0016703E">
        <w:rPr>
          <w:rFonts w:ascii="Century Gothic" w:eastAsia="Arial" w:hAnsi="Century Gothic" w:cs="Arial"/>
          <w:color w:val="000000"/>
          <w:sz w:val="24"/>
          <w:szCs w:val="24"/>
          <w:highlight w:val="white"/>
        </w:rPr>
        <w:t>longada, o sangre oculta en heces positiva.</w:t>
      </w:r>
    </w:p>
    <w:p w14:paraId="3D0FA34F" w14:textId="77777777" w:rsidR="003976DD" w:rsidRPr="0016703E" w:rsidRDefault="003976DD" w:rsidP="003976DD">
      <w:pPr>
        <w:pBdr>
          <w:top w:val="nil"/>
          <w:left w:val="nil"/>
          <w:bottom w:val="nil"/>
          <w:right w:val="nil"/>
          <w:between w:val="nil"/>
        </w:pBdr>
        <w:shd w:val="clear" w:color="auto" w:fill="FFFFFF"/>
        <w:spacing w:after="0" w:line="240" w:lineRule="auto"/>
        <w:ind w:left="915"/>
        <w:jc w:val="both"/>
        <w:rPr>
          <w:rFonts w:ascii="Century Gothic" w:eastAsia="Arial" w:hAnsi="Century Gothic" w:cs="Arial"/>
          <w:color w:val="000000"/>
          <w:sz w:val="24"/>
          <w:szCs w:val="24"/>
        </w:rPr>
      </w:pPr>
    </w:p>
    <w:p w14:paraId="324D9344"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Adicionalmente, se establece que el cuestionario llamado “Irritable bowel syndrome severity scoring system” (12), es utilizado por un per</w:t>
      </w:r>
      <w:r w:rsidRPr="0016703E">
        <w:rPr>
          <w:rFonts w:ascii="Century Gothic" w:eastAsia="Arial" w:hAnsi="Century Gothic" w:cs="Arial"/>
          <w:sz w:val="24"/>
          <w:szCs w:val="24"/>
        </w:rPr>
        <w:t xml:space="preserve">íodo de 10 días con el fin de establecer la intensidad de los siguientes 5 síntomas: dolor abdominal, distensión, frecuencia de deposiciones, consistencia de las deposiciones e interferencia con las actividades cotidianas, actualmente se </w:t>
      </w:r>
      <w:r w:rsidRPr="0016703E">
        <w:rPr>
          <w:rFonts w:ascii="Century Gothic" w:eastAsia="Arial" w:hAnsi="Century Gothic" w:cs="Arial"/>
          <w:sz w:val="24"/>
          <w:szCs w:val="24"/>
        </w:rPr>
        <w:lastRenderedPageBreak/>
        <w:t>encuentra traducido al español y se convierte en una herramienta de ayuda al momento de definir la gravedad de los síntomas (13).</w:t>
      </w:r>
    </w:p>
    <w:p w14:paraId="651769E6" w14:textId="77777777" w:rsidR="00F2150C" w:rsidRPr="0016703E" w:rsidRDefault="00F2150C" w:rsidP="0016703E">
      <w:pPr>
        <w:spacing w:after="0" w:line="240" w:lineRule="auto"/>
        <w:jc w:val="both"/>
        <w:rPr>
          <w:rFonts w:ascii="Century Gothic" w:eastAsia="Arial" w:hAnsi="Century Gothic" w:cs="Arial"/>
          <w:sz w:val="24"/>
          <w:szCs w:val="24"/>
        </w:rPr>
      </w:pPr>
    </w:p>
    <w:p w14:paraId="4E46805C"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2" w:name="_heading=h.tyjcwt" w:colFirst="0" w:colLast="0"/>
      <w:bookmarkEnd w:id="2"/>
      <w:r w:rsidRPr="0016703E">
        <w:rPr>
          <w:rFonts w:ascii="Century Gothic" w:eastAsia="Arial" w:hAnsi="Century Gothic" w:cs="Arial"/>
          <w:sz w:val="24"/>
          <w:szCs w:val="24"/>
        </w:rPr>
        <w:t>DIAGNÓSTICO</w:t>
      </w:r>
    </w:p>
    <w:p w14:paraId="3492C4EE" w14:textId="77777777" w:rsidR="003976DD" w:rsidRPr="0016703E" w:rsidRDefault="003976DD" w:rsidP="0016703E">
      <w:pPr>
        <w:pStyle w:val="Ttulo1"/>
        <w:spacing w:before="0" w:beforeAutospacing="0" w:after="0" w:afterAutospacing="0"/>
        <w:rPr>
          <w:rFonts w:ascii="Century Gothic" w:eastAsia="Arial" w:hAnsi="Century Gothic" w:cs="Arial"/>
          <w:sz w:val="24"/>
          <w:szCs w:val="24"/>
        </w:rPr>
      </w:pPr>
    </w:p>
    <w:p w14:paraId="01B7212B" w14:textId="77777777" w:rsidR="00F2150C" w:rsidRPr="0016703E" w:rsidRDefault="00D84AD5" w:rsidP="0016703E">
      <w:pPr>
        <w:spacing w:after="0" w:line="240" w:lineRule="auto"/>
        <w:jc w:val="both"/>
        <w:rPr>
          <w:rFonts w:ascii="Century Gothic" w:eastAsia="Arial" w:hAnsi="Century Gothic" w:cs="Arial"/>
          <w:b/>
          <w:sz w:val="24"/>
          <w:szCs w:val="24"/>
        </w:rPr>
      </w:pPr>
      <w:r w:rsidRPr="0016703E">
        <w:rPr>
          <w:rFonts w:ascii="Century Gothic" w:eastAsia="Arial" w:hAnsi="Century Gothic" w:cs="Arial"/>
          <w:b/>
          <w:sz w:val="24"/>
          <w:szCs w:val="24"/>
        </w:rPr>
        <w:t>Evaluación inicial</w:t>
      </w:r>
    </w:p>
    <w:p w14:paraId="698016A1" w14:textId="77777777" w:rsidR="00F2150C" w:rsidRPr="0016703E" w:rsidRDefault="004636B9"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3"/>
          <w:id w:val="1459216499"/>
        </w:sdtPr>
        <w:sdtEndPr/>
        <w:sdtContent/>
      </w:sdt>
      <w:r w:rsidR="00D84AD5" w:rsidRPr="0016703E">
        <w:rPr>
          <w:rFonts w:ascii="Century Gothic" w:eastAsia="Arial" w:hAnsi="Century Gothic" w:cs="Arial"/>
          <w:sz w:val="24"/>
          <w:szCs w:val="24"/>
        </w:rPr>
        <w:t>Deberá sospecharse el síndrome ante la consulta del paciente con presencia de dolor abdominal, distensión con o sin hinchazón abdominal, y cambio en frecuencia y consistencia de las heces en los últimos tres meses. El dolor abdominal es un síntoma necesario para el diagnóstico y la distensión abdominal es reportada por el 90% de los pacientes (1).</w:t>
      </w:r>
    </w:p>
    <w:p w14:paraId="71F11E8A"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El historial médico orienta para identificar las manifestaciones clínicas del SII, este interrogatorio se debe acompañar de la evaluación de la escala de </w:t>
      </w:r>
      <w:proofErr w:type="spellStart"/>
      <w:r w:rsidRPr="0016703E">
        <w:rPr>
          <w:rFonts w:ascii="Century Gothic" w:eastAsia="Arial" w:hAnsi="Century Gothic" w:cs="Arial"/>
          <w:sz w:val="24"/>
          <w:szCs w:val="24"/>
        </w:rPr>
        <w:t>bristol</w:t>
      </w:r>
      <w:proofErr w:type="spellEnd"/>
      <w:r w:rsidRPr="0016703E">
        <w:rPr>
          <w:rFonts w:ascii="Century Gothic" w:eastAsia="Arial" w:hAnsi="Century Gothic" w:cs="Arial"/>
          <w:sz w:val="24"/>
          <w:szCs w:val="24"/>
        </w:rPr>
        <w:t>, el cual orienta acerca de la consistencia de las heces, realizando una clasificación de 7 tipos de estreñimiento (14). Los síntomas que más acompañan este tipo de pacientes y que se realizará la búsqueda son esfuerzo excesivo al momento de realizar deposición, aumento en la frecuencia de los gases, heces duras, molestia abdominal, sensación de evacuación incompleta (15).</w:t>
      </w:r>
    </w:p>
    <w:p w14:paraId="0B744857" w14:textId="77777777" w:rsidR="003976DD" w:rsidRPr="0016703E" w:rsidRDefault="003976DD" w:rsidP="0016703E">
      <w:pPr>
        <w:spacing w:after="0" w:line="240" w:lineRule="auto"/>
        <w:jc w:val="both"/>
        <w:rPr>
          <w:rFonts w:ascii="Century Gothic" w:eastAsia="Arial" w:hAnsi="Century Gothic" w:cs="Arial"/>
          <w:sz w:val="24"/>
          <w:szCs w:val="24"/>
        </w:rPr>
      </w:pPr>
    </w:p>
    <w:p w14:paraId="4A2D953C"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rPr>
        <w:t>Posterior al abordaje inicial se deberá realizar un abordaje de los síntomas según los criterios de</w:t>
      </w:r>
      <w:r w:rsidRPr="0016703E">
        <w:rPr>
          <w:rFonts w:ascii="Century Gothic" w:eastAsia="Arial" w:hAnsi="Century Gothic" w:cs="Arial"/>
          <w:sz w:val="24"/>
          <w:szCs w:val="24"/>
          <w:highlight w:val="white"/>
        </w:rPr>
        <w:t xml:space="preserve"> ROMA IV.</w:t>
      </w:r>
    </w:p>
    <w:p w14:paraId="55F49C67"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51C2F770"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t>Criterios de Roma IV</w:t>
      </w:r>
    </w:p>
    <w:p w14:paraId="2008EFAB"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b/>
          <w:sz w:val="24"/>
          <w:szCs w:val="24"/>
          <w:highlight w:val="white"/>
        </w:rPr>
      </w:pPr>
    </w:p>
    <w:p w14:paraId="3F9B58F5"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Estrategia diagnóstica aceptada internacionalmente que identifica el dolor abdominal funcional recurrente al menos 1 día a la semana en los últimos 3 meses </w:t>
      </w:r>
      <w:r w:rsidRPr="0016703E">
        <w:rPr>
          <w:rFonts w:ascii="Century Gothic" w:eastAsia="Arial" w:hAnsi="Century Gothic" w:cs="Arial"/>
          <w:sz w:val="24"/>
          <w:szCs w:val="24"/>
        </w:rPr>
        <w:t>relacionado con dos o más de los siguientes:</w:t>
      </w:r>
    </w:p>
    <w:p w14:paraId="39EC80D7"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45B07D9B"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relaciona con la defecación.</w:t>
      </w:r>
    </w:p>
    <w:p w14:paraId="1ECF6B8B"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asocia con escaso número de deposiciones (menos de 3/semana).</w:t>
      </w:r>
    </w:p>
    <w:p w14:paraId="165D6ADF"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asocia a deposiciones duras o bolas.</w:t>
      </w:r>
    </w:p>
    <w:p w14:paraId="18D9A968" w14:textId="77777777" w:rsidR="00F2150C" w:rsidRPr="0016703E" w:rsidRDefault="00D84AD5" w:rsidP="0016703E">
      <w:pPr>
        <w:pBdr>
          <w:top w:val="nil"/>
          <w:left w:val="nil"/>
          <w:bottom w:val="nil"/>
          <w:right w:val="nil"/>
          <w:between w:val="nil"/>
        </w:pBdr>
        <w:spacing w:after="0" w:line="240" w:lineRule="auto"/>
        <w:jc w:val="center"/>
        <w:rPr>
          <w:rFonts w:ascii="Century Gothic" w:eastAsia="Arial" w:hAnsi="Century Gothic" w:cs="Arial"/>
          <w:sz w:val="24"/>
          <w:szCs w:val="24"/>
          <w:highlight w:val="white"/>
        </w:rPr>
      </w:pPr>
      <w:r w:rsidRPr="0016703E">
        <w:rPr>
          <w:rFonts w:ascii="Century Gothic" w:eastAsia="Arial" w:hAnsi="Century Gothic" w:cs="Arial"/>
          <w:noProof/>
          <w:sz w:val="24"/>
          <w:szCs w:val="24"/>
          <w:highlight w:val="white"/>
        </w:rPr>
        <w:lastRenderedPageBreak/>
        <w:drawing>
          <wp:inline distT="114300" distB="114300" distL="114300" distR="114300" wp14:anchorId="18D12D9B" wp14:editId="2BCF4330">
            <wp:extent cx="4283585" cy="3890282"/>
            <wp:effectExtent l="0" t="0" r="0" b="0"/>
            <wp:docPr id="17094657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83585" cy="3890282"/>
                    </a:xfrm>
                    <a:prstGeom prst="rect">
                      <a:avLst/>
                    </a:prstGeom>
                    <a:ln/>
                  </pic:spPr>
                </pic:pic>
              </a:graphicData>
            </a:graphic>
          </wp:inline>
        </w:drawing>
      </w:r>
    </w:p>
    <w:p w14:paraId="7144BDB1"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1. Criterios ROMA IV</w:t>
      </w:r>
    </w:p>
    <w:p w14:paraId="752E1101" w14:textId="77777777" w:rsidR="00F2150C" w:rsidRPr="0016703E" w:rsidRDefault="00D84AD5" w:rsidP="0016703E">
      <w:pPr>
        <w:spacing w:after="0" w:line="240" w:lineRule="auto"/>
        <w:ind w:left="720"/>
        <w:jc w:val="both"/>
        <w:rPr>
          <w:rFonts w:ascii="Century Gothic" w:eastAsia="Arial" w:hAnsi="Century Gothic" w:cs="Arial"/>
          <w:sz w:val="24"/>
          <w:szCs w:val="24"/>
          <w:highlight w:val="white"/>
        </w:rPr>
      </w:pPr>
      <w:r w:rsidRPr="0016703E">
        <w:rPr>
          <w:rFonts w:ascii="Century Gothic" w:eastAsia="Arial" w:hAnsi="Century Gothic" w:cs="Arial"/>
          <w:sz w:val="24"/>
          <w:szCs w:val="24"/>
        </w:rPr>
        <w:t>Fuente: Otero R. W, Otero P. L, Marulanda F. H (1).</w:t>
      </w:r>
    </w:p>
    <w:p w14:paraId="034F4E2D"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1476BCBD"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Adicional:</w:t>
      </w:r>
    </w:p>
    <w:p w14:paraId="3E69980E" w14:textId="77777777" w:rsidR="003976DD" w:rsidRPr="0016703E" w:rsidRDefault="003976DD" w:rsidP="0016703E">
      <w:pPr>
        <w:spacing w:after="0" w:line="240" w:lineRule="auto"/>
        <w:jc w:val="both"/>
        <w:rPr>
          <w:rFonts w:ascii="Century Gothic" w:eastAsia="Arial" w:hAnsi="Century Gothic" w:cs="Arial"/>
          <w:sz w:val="24"/>
          <w:szCs w:val="24"/>
        </w:rPr>
      </w:pPr>
    </w:p>
    <w:p w14:paraId="2A334E78"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Esfuerzo excesivo al menos 25% de las deposiciones.</w:t>
      </w:r>
    </w:p>
    <w:p w14:paraId="0D5617BB"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Heces duras al menos 25% de las deposiciones.</w:t>
      </w:r>
    </w:p>
    <w:p w14:paraId="3AD91502"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Sensación de evacuación incompleta al menos 25% de las deposiciones.</w:t>
      </w:r>
    </w:p>
    <w:p w14:paraId="3507D0C8"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Sensación de obstrucción anal al menos en el 25% de las deposiciones.</w:t>
      </w:r>
    </w:p>
    <w:p w14:paraId="07E16772"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Maniobras manuales para facilitar la defecación 25% de las deposiciones.</w:t>
      </w:r>
    </w:p>
    <w:p w14:paraId="6D4A2B45" w14:textId="77777777" w:rsidR="00F2150C"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Menos de 3 deposiciones espontáneas completas a la semana (16 - 18).</w:t>
      </w:r>
    </w:p>
    <w:p w14:paraId="04A223AC" w14:textId="77777777" w:rsidR="003976DD" w:rsidRPr="0016703E" w:rsidRDefault="003976DD" w:rsidP="003976DD">
      <w:pPr>
        <w:spacing w:after="0" w:line="240" w:lineRule="auto"/>
        <w:ind w:left="720"/>
        <w:jc w:val="both"/>
        <w:rPr>
          <w:rFonts w:ascii="Century Gothic" w:eastAsia="Arial" w:hAnsi="Century Gothic" w:cs="Arial"/>
          <w:sz w:val="24"/>
          <w:szCs w:val="24"/>
        </w:rPr>
      </w:pPr>
    </w:p>
    <w:p w14:paraId="516AF25F" w14:textId="65872305" w:rsidR="00F2150C" w:rsidRPr="0016703E" w:rsidRDefault="003976DD" w:rsidP="0016703E">
      <w:pPr>
        <w:spacing w:after="0" w:line="240" w:lineRule="auto"/>
        <w:ind w:left="360"/>
        <w:jc w:val="both"/>
        <w:rPr>
          <w:rFonts w:ascii="Century Gothic" w:eastAsia="Arial" w:hAnsi="Century Gothic" w:cs="Arial"/>
          <w:sz w:val="24"/>
          <w:szCs w:val="24"/>
        </w:rPr>
      </w:pPr>
      <w:r w:rsidRPr="0016703E">
        <w:rPr>
          <w:rFonts w:ascii="Century Gothic" w:eastAsia="Arial" w:hAnsi="Century Gothic" w:cs="Arial"/>
          <w:sz w:val="24"/>
          <w:szCs w:val="24"/>
        </w:rPr>
        <w:t>De acuerdo con</w:t>
      </w:r>
      <w:r w:rsidR="00D84AD5" w:rsidRPr="0016703E">
        <w:rPr>
          <w:rFonts w:ascii="Century Gothic" w:eastAsia="Arial" w:hAnsi="Century Gothic" w:cs="Arial"/>
          <w:sz w:val="24"/>
          <w:szCs w:val="24"/>
        </w:rPr>
        <w:t xml:space="preserve"> la evaluación realizada se establecerá si el paciente presenta uno de los subtipos de SII, en los cuales el hábito intestinal </w:t>
      </w:r>
      <w:r w:rsidR="00D84AD5" w:rsidRPr="0016703E">
        <w:rPr>
          <w:rFonts w:ascii="Century Gothic" w:eastAsia="Arial" w:hAnsi="Century Gothic" w:cs="Arial"/>
          <w:sz w:val="24"/>
          <w:szCs w:val="24"/>
        </w:rPr>
        <w:lastRenderedPageBreak/>
        <w:t xml:space="preserve">predominante </w:t>
      </w:r>
      <w:proofErr w:type="gramStart"/>
      <w:r w:rsidR="00D84AD5" w:rsidRPr="0016703E">
        <w:rPr>
          <w:rFonts w:ascii="Century Gothic" w:eastAsia="Arial" w:hAnsi="Century Gothic" w:cs="Arial"/>
          <w:sz w:val="24"/>
          <w:szCs w:val="24"/>
        </w:rPr>
        <w:t>de acuerdo a</w:t>
      </w:r>
      <w:proofErr w:type="gramEnd"/>
      <w:r w:rsidR="00D84AD5" w:rsidRPr="0016703E">
        <w:rPr>
          <w:rFonts w:ascii="Century Gothic" w:eastAsia="Arial" w:hAnsi="Century Gothic" w:cs="Arial"/>
          <w:sz w:val="24"/>
          <w:szCs w:val="24"/>
        </w:rPr>
        <w:t xml:space="preserve"> la escala de Bristol establecerá con seguridad el patrón determinado.</w:t>
      </w:r>
    </w:p>
    <w:p w14:paraId="0EE10D8B" w14:textId="77777777" w:rsidR="00F2150C" w:rsidRPr="0016703E" w:rsidRDefault="00D84AD5" w:rsidP="0016703E">
      <w:pPr>
        <w:spacing w:after="0" w:line="240" w:lineRule="auto"/>
        <w:jc w:val="center"/>
        <w:rPr>
          <w:rFonts w:ascii="Century Gothic" w:eastAsia="Arial" w:hAnsi="Century Gothic" w:cs="Arial"/>
          <w:sz w:val="24"/>
          <w:szCs w:val="24"/>
        </w:rPr>
      </w:pPr>
      <w:r w:rsidRPr="0016703E">
        <w:rPr>
          <w:rFonts w:ascii="Century Gothic" w:eastAsia="Arial" w:hAnsi="Century Gothic" w:cs="Arial"/>
          <w:noProof/>
          <w:sz w:val="24"/>
          <w:szCs w:val="24"/>
        </w:rPr>
        <w:drawing>
          <wp:inline distT="114300" distB="114300" distL="114300" distR="114300" wp14:anchorId="495164E6" wp14:editId="5298AAF0">
            <wp:extent cx="4953000" cy="2809875"/>
            <wp:effectExtent l="0" t="0" r="0" b="0"/>
            <wp:docPr id="17094657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953000" cy="2809875"/>
                    </a:xfrm>
                    <a:prstGeom prst="rect">
                      <a:avLst/>
                    </a:prstGeom>
                    <a:ln/>
                  </pic:spPr>
                </pic:pic>
              </a:graphicData>
            </a:graphic>
          </wp:inline>
        </w:drawing>
      </w:r>
    </w:p>
    <w:p w14:paraId="6AD1379A" w14:textId="77777777" w:rsidR="00F2150C" w:rsidRPr="0016703E" w:rsidRDefault="00F2150C" w:rsidP="0016703E">
      <w:pPr>
        <w:spacing w:after="0" w:line="240" w:lineRule="auto"/>
        <w:jc w:val="center"/>
        <w:rPr>
          <w:rFonts w:ascii="Century Gothic" w:eastAsia="Arial" w:hAnsi="Century Gothic" w:cs="Arial"/>
          <w:sz w:val="24"/>
          <w:szCs w:val="24"/>
        </w:rPr>
      </w:pPr>
    </w:p>
    <w:p w14:paraId="774F124B"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4. Subtipos de SII</w:t>
      </w:r>
    </w:p>
    <w:p w14:paraId="2F7DB11F"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Fuente: Otero R. W, Otero P. L, Marulanda F. H (1).</w:t>
      </w:r>
    </w:p>
    <w:p w14:paraId="0400BF11" w14:textId="77777777" w:rsidR="00F2150C" w:rsidRPr="0016703E" w:rsidRDefault="00F2150C" w:rsidP="0016703E">
      <w:pPr>
        <w:spacing w:after="0" w:line="240" w:lineRule="auto"/>
        <w:jc w:val="center"/>
        <w:rPr>
          <w:rFonts w:ascii="Century Gothic" w:eastAsia="Arial" w:hAnsi="Century Gothic" w:cs="Arial"/>
          <w:sz w:val="24"/>
          <w:szCs w:val="24"/>
        </w:rPr>
      </w:pPr>
    </w:p>
    <w:p w14:paraId="2BAEA99F"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estreñimiento predominante: Cuando el paciente informa que las deposiciones predominantes son del tipo 1 y 2 de la escala de Bristol.</w:t>
      </w:r>
    </w:p>
    <w:p w14:paraId="66AE064F"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diarrea predominante: el paciente informa que las deposiciones anormales suelen ser tipo 6 y 7 en la escala Bristol.</w:t>
      </w:r>
    </w:p>
    <w:p w14:paraId="3D3504D4"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hábitos alternantes: los pacientes presentan deposiciones que van del estreñimiento a la diarrea de forma alternada.</w:t>
      </w:r>
    </w:p>
    <w:p w14:paraId="360703B8"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inclasificable: paciente que cumple los criterios ROMA IV sin embargo en la escala Bristol no es preciso clasificarlo en uno de los tres subtipos.</w:t>
      </w:r>
    </w:p>
    <w:p w14:paraId="4626875B" w14:textId="77777777" w:rsidR="00F2150C" w:rsidRPr="0016703E" w:rsidRDefault="004636B9"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4"/>
          <w:id w:val="-1501112830"/>
        </w:sdtPr>
        <w:sdtEndPr/>
        <w:sdtContent/>
      </w:sdt>
    </w:p>
    <w:p w14:paraId="4F237BE9"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En aquellos pacientes en los cuales no hay mejoría de los síntomas a pesar de 6 a 12 semanas de tratamiento se deber</w:t>
      </w:r>
      <w:r w:rsidRPr="0016703E">
        <w:rPr>
          <w:rFonts w:ascii="Century Gothic" w:eastAsia="Arial" w:hAnsi="Century Gothic" w:cs="Arial"/>
          <w:sz w:val="24"/>
          <w:szCs w:val="24"/>
          <w:highlight w:val="white"/>
        </w:rPr>
        <w:t xml:space="preserve">á indicar la toma de muestra de calprotectina fecal o lactoferrina fecal para establecer el diagnóstico diferencial con enfermedad </w:t>
      </w:r>
      <w:r w:rsidRPr="0016703E">
        <w:rPr>
          <w:rFonts w:ascii="Century Gothic" w:eastAsia="Arial" w:hAnsi="Century Gothic" w:cs="Arial"/>
          <w:sz w:val="24"/>
          <w:szCs w:val="24"/>
        </w:rPr>
        <w:t>inflamatoria intestinal (4).</w:t>
      </w:r>
    </w:p>
    <w:p w14:paraId="0D2869EC"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1F5568EC"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lastRenderedPageBreak/>
        <w:t>Otras condiciones médicas con las cuales debe hacerse diagnóstico diferencial son: enfermedad de Crohn, porfiria, isquemia, pancreatitis crónica, linfoma del tracto gastrointestinal y endometriosis (5).</w:t>
      </w:r>
    </w:p>
    <w:p w14:paraId="1F64A663"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2AA6DFF5" w14:textId="4E59711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Finalmente, aquellos pacientes con banderas rojas, aunque cumplan los criterios de SII, deben </w:t>
      </w:r>
      <w:r w:rsidR="003976DD">
        <w:rPr>
          <w:rFonts w:ascii="Century Gothic" w:eastAsia="Arial" w:hAnsi="Century Gothic" w:cs="Arial"/>
          <w:sz w:val="24"/>
          <w:szCs w:val="24"/>
          <w:highlight w:val="white"/>
        </w:rPr>
        <w:t>remitirse</w:t>
      </w:r>
      <w:r w:rsidRPr="0016703E">
        <w:rPr>
          <w:rFonts w:ascii="Century Gothic" w:eastAsia="Arial" w:hAnsi="Century Gothic" w:cs="Arial"/>
          <w:sz w:val="24"/>
          <w:szCs w:val="24"/>
          <w:highlight w:val="white"/>
        </w:rPr>
        <w:t xml:space="preserve"> a exámenes complementa</w:t>
      </w:r>
      <w:r w:rsidRPr="0016703E">
        <w:rPr>
          <w:rFonts w:ascii="Century Gothic" w:eastAsia="Arial" w:hAnsi="Century Gothic" w:cs="Arial"/>
          <w:sz w:val="24"/>
          <w:szCs w:val="24"/>
        </w:rPr>
        <w:t>rios (1).</w:t>
      </w:r>
    </w:p>
    <w:p w14:paraId="7B4B65F3" w14:textId="77777777" w:rsidR="003976DD" w:rsidRDefault="003976DD" w:rsidP="0016703E">
      <w:pPr>
        <w:pStyle w:val="Ttulo1"/>
        <w:spacing w:before="0" w:beforeAutospacing="0" w:after="0" w:afterAutospacing="0"/>
        <w:rPr>
          <w:rFonts w:ascii="Century Gothic" w:eastAsia="Arial" w:hAnsi="Century Gothic" w:cs="Arial"/>
          <w:sz w:val="24"/>
          <w:szCs w:val="24"/>
        </w:rPr>
      </w:pPr>
    </w:p>
    <w:p w14:paraId="7B2A73E9" w14:textId="2029B682" w:rsidR="00F2150C" w:rsidRDefault="00D84AD5"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TRATAMIENTO</w:t>
      </w:r>
    </w:p>
    <w:p w14:paraId="3827F6BD" w14:textId="77777777" w:rsidR="003976DD" w:rsidRPr="0016703E" w:rsidRDefault="003976DD" w:rsidP="0016703E">
      <w:pPr>
        <w:pStyle w:val="Ttulo1"/>
        <w:spacing w:before="0" w:beforeAutospacing="0" w:after="0" w:afterAutospacing="0"/>
        <w:rPr>
          <w:rFonts w:ascii="Century Gothic" w:eastAsia="Arial" w:hAnsi="Century Gothic" w:cs="Arial"/>
          <w:sz w:val="24"/>
          <w:szCs w:val="24"/>
        </w:rPr>
      </w:pPr>
    </w:p>
    <w:p w14:paraId="26ADB931" w14:textId="77777777" w:rsidR="00F2150C" w:rsidRDefault="004636B9"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5"/>
          <w:id w:val="-650839540"/>
        </w:sdtPr>
        <w:sdtEndPr/>
        <w:sdtContent/>
      </w:sdt>
      <w:r w:rsidR="00D84AD5" w:rsidRPr="0016703E">
        <w:rPr>
          <w:rFonts w:ascii="Century Gothic" w:eastAsia="Arial" w:hAnsi="Century Gothic" w:cs="Arial"/>
          <w:sz w:val="24"/>
          <w:szCs w:val="24"/>
        </w:rPr>
        <w:t>El tratamiento deberá ser escalonado, racional y en función de la etapa de la enfermedad junto con el síntoma predominante. Además, será combinado, farmacológico y no farmacológico, en función de la situación particular del paciente (condición clínica, posibilidades, cultural) (4).</w:t>
      </w:r>
    </w:p>
    <w:p w14:paraId="39362FAE" w14:textId="77777777" w:rsidR="003976DD" w:rsidRPr="0016703E" w:rsidRDefault="003976DD" w:rsidP="0016703E">
      <w:pPr>
        <w:spacing w:after="0" w:line="240" w:lineRule="auto"/>
        <w:jc w:val="both"/>
        <w:rPr>
          <w:rFonts w:ascii="Century Gothic" w:eastAsia="Arial" w:hAnsi="Century Gothic" w:cs="Arial"/>
          <w:sz w:val="24"/>
          <w:szCs w:val="24"/>
          <w:highlight w:val="yellow"/>
        </w:rPr>
      </w:pPr>
    </w:p>
    <w:p w14:paraId="71A656E7" w14:textId="77777777" w:rsidR="00F2150C" w:rsidRDefault="00D84AD5" w:rsidP="0016703E">
      <w:pP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t>No farmacológico</w:t>
      </w:r>
    </w:p>
    <w:p w14:paraId="3A7C9CF8" w14:textId="77777777" w:rsidR="003976DD" w:rsidRPr="0016703E" w:rsidRDefault="003976DD" w:rsidP="0016703E">
      <w:pPr>
        <w:spacing w:after="0" w:line="240" w:lineRule="auto"/>
        <w:jc w:val="both"/>
        <w:rPr>
          <w:rFonts w:ascii="Century Gothic" w:eastAsia="Arial" w:hAnsi="Century Gothic" w:cs="Arial"/>
          <w:b/>
          <w:sz w:val="24"/>
          <w:szCs w:val="24"/>
          <w:highlight w:val="white"/>
        </w:rPr>
      </w:pPr>
    </w:p>
    <w:p w14:paraId="1560CE69"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De manera inicial se realizan medidas higiénico dietéticas para el manejo del SII así:</w:t>
      </w:r>
    </w:p>
    <w:p w14:paraId="345ADD54" w14:textId="77777777" w:rsidR="003976DD" w:rsidRPr="0016703E" w:rsidRDefault="003976DD" w:rsidP="0016703E">
      <w:pPr>
        <w:spacing w:after="0" w:line="240" w:lineRule="auto"/>
        <w:jc w:val="both"/>
        <w:rPr>
          <w:rFonts w:ascii="Century Gothic" w:eastAsia="Arial" w:hAnsi="Century Gothic" w:cs="Arial"/>
          <w:sz w:val="24"/>
          <w:szCs w:val="24"/>
        </w:rPr>
      </w:pPr>
    </w:p>
    <w:p w14:paraId="3DDB5A9A"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Ejercicio aeróbico regular</w:t>
      </w:r>
      <w:r w:rsidRPr="0016703E">
        <w:rPr>
          <w:rFonts w:ascii="Century Gothic" w:eastAsia="Arial" w:hAnsi="Century Gothic" w:cs="Arial"/>
          <w:sz w:val="24"/>
          <w:szCs w:val="24"/>
        </w:rPr>
        <w:t xml:space="preserve"> (ajustado a condiciones del individuo y preferencias), esta medida ha demostrado una mejoría significativa en la presencia de síntomas como la distensión abdominal y la retención de gas (23), la consistencia de las heces y de la misma manera mejoran aspectos que influyen en el SII como el estrés y la ansiedad (24-26).</w:t>
      </w:r>
    </w:p>
    <w:p w14:paraId="232F9239"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73096B19"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Ingesta adecuada de líquido entre 1,5 a 2 litros/día.</w:t>
      </w:r>
      <w:r w:rsidRPr="0016703E">
        <w:rPr>
          <w:rFonts w:ascii="Century Gothic" w:eastAsia="Arial" w:hAnsi="Century Gothic" w:cs="Arial"/>
          <w:sz w:val="24"/>
          <w:szCs w:val="24"/>
        </w:rPr>
        <w:t xml:space="preserve"> Esta es una recomendación realizada por la mayoría de las guías clínicas, se ha encontrado que consumir 2 litros asociado a un aumento de la ingesta de fibra mejora la frecuencia de las deposiciones, sin embargo, siempre debe acompañarse de otras medidas, ya que la ingesta por sí sola no ha demostrado impacto (27-30).</w:t>
      </w:r>
    </w:p>
    <w:p w14:paraId="4B5E887B"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04A6ADD4"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Ingesta de 25 a 30 gramos de fibra soluble en la dieta del día</w:t>
      </w:r>
      <w:r w:rsidRPr="0016703E">
        <w:rPr>
          <w:rFonts w:ascii="Century Gothic" w:eastAsia="Arial" w:hAnsi="Century Gothic" w:cs="Arial"/>
          <w:sz w:val="24"/>
          <w:szCs w:val="24"/>
        </w:rPr>
        <w:t xml:space="preserve">. Se debe tener en cuenta que el consumo de la fibra debe ser progresivo, de la misma manera si bien puede mejorar la frecuencia de las deposiciones, también puede aumentar el dolor abdominal y la distensión especialmente en los casos de SII con estreñimiento. La fibra soluble (ispagula, psilio) es apropiada para el tratamiento sintomático del estreñimiento, mientras que la fibra </w:t>
      </w:r>
      <w:r w:rsidRPr="0016703E">
        <w:rPr>
          <w:rFonts w:ascii="Century Gothic" w:eastAsia="Arial" w:hAnsi="Century Gothic" w:cs="Arial"/>
          <w:sz w:val="24"/>
          <w:szCs w:val="24"/>
        </w:rPr>
        <w:lastRenderedPageBreak/>
        <w:t>insoluble (salvado de trigo, fibra de maíz) no ha demostrado los mismos resultados (31).</w:t>
      </w:r>
    </w:p>
    <w:p w14:paraId="09675B03"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5D1B3005"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Dieta equilibrada.</w:t>
      </w:r>
      <w:r w:rsidRPr="0016703E">
        <w:rPr>
          <w:rFonts w:ascii="Century Gothic" w:eastAsia="Arial" w:hAnsi="Century Gothic" w:cs="Arial"/>
          <w:sz w:val="24"/>
          <w:szCs w:val="24"/>
        </w:rPr>
        <w:t xml:space="preserve"> En diferentes estudios clínicos se evidenció que la ingesta de trigo aumentó el dolor abdominal y la distensión (32), por otra parte, la lactosa y el gluten no demostró impacto o diferencia entre personas con SII y personas sanas (33).</w:t>
      </w:r>
    </w:p>
    <w:p w14:paraId="4DE5E4D1" w14:textId="77777777" w:rsidR="003976DD" w:rsidRDefault="003976DD" w:rsidP="003976DD">
      <w:pPr>
        <w:spacing w:after="0" w:line="240" w:lineRule="auto"/>
        <w:jc w:val="both"/>
        <w:rPr>
          <w:rFonts w:ascii="Century Gothic" w:eastAsia="Arial" w:hAnsi="Century Gothic" w:cs="Arial"/>
          <w:sz w:val="24"/>
          <w:szCs w:val="24"/>
        </w:rPr>
      </w:pPr>
    </w:p>
    <w:p w14:paraId="770E16EA" w14:textId="1CE9BC34"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Evaluar de manera individual la exclusión del sorbitol, grasas, alcohol, trigo, frutos secos o la leche, ya que de manera general no se ha demostrado que mejoran la sintomatología, sin embargo, algunas personas presentan problemas específicos con este tipo de alimentos.</w:t>
      </w:r>
    </w:p>
    <w:p w14:paraId="72920CCF" w14:textId="77777777" w:rsidR="00F2150C" w:rsidRPr="0016703E" w:rsidRDefault="00F2150C" w:rsidP="0016703E">
      <w:pPr>
        <w:spacing w:after="0" w:line="240" w:lineRule="auto"/>
        <w:ind w:left="720"/>
        <w:jc w:val="both"/>
        <w:rPr>
          <w:rFonts w:ascii="Century Gothic" w:eastAsia="Arial" w:hAnsi="Century Gothic" w:cs="Arial"/>
          <w:b/>
          <w:sz w:val="24"/>
          <w:szCs w:val="24"/>
        </w:rPr>
      </w:pPr>
    </w:p>
    <w:p w14:paraId="68026080" w14:textId="77777777" w:rsidR="00F2150C" w:rsidRPr="0016703E" w:rsidRDefault="00D84AD5" w:rsidP="003976DD">
      <w:pPr>
        <w:spacing w:after="0" w:line="240" w:lineRule="auto"/>
        <w:jc w:val="both"/>
        <w:rPr>
          <w:rFonts w:ascii="Century Gothic" w:eastAsia="Arial" w:hAnsi="Century Gothic" w:cs="Arial"/>
          <w:b/>
          <w:sz w:val="24"/>
          <w:szCs w:val="24"/>
        </w:rPr>
      </w:pPr>
      <w:r w:rsidRPr="0016703E">
        <w:rPr>
          <w:rFonts w:ascii="Century Gothic" w:eastAsia="Arial" w:hAnsi="Century Gothic" w:cs="Arial"/>
          <w:b/>
          <w:sz w:val="24"/>
          <w:szCs w:val="24"/>
        </w:rPr>
        <w:t xml:space="preserve">Patrón comidas: </w:t>
      </w:r>
      <w:r w:rsidRPr="0016703E">
        <w:rPr>
          <w:rFonts w:ascii="Century Gothic" w:eastAsia="Arial" w:hAnsi="Century Gothic" w:cs="Arial"/>
          <w:sz w:val="24"/>
          <w:szCs w:val="24"/>
        </w:rPr>
        <w:t>regular, porcionado. Evitar comidas copiosas, grasas, fibra insoluble y alimentos flatulentos</w:t>
      </w:r>
    </w:p>
    <w:p w14:paraId="3E3CFFB8"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452AFAED"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Probióticos:</w:t>
      </w:r>
      <w:r w:rsidRPr="0016703E">
        <w:rPr>
          <w:rFonts w:ascii="Century Gothic" w:eastAsia="Arial" w:hAnsi="Century Gothic" w:cs="Arial"/>
          <w:sz w:val="24"/>
          <w:szCs w:val="24"/>
        </w:rPr>
        <w:t xml:space="preserve"> </w:t>
      </w:r>
      <w:sdt>
        <w:sdtPr>
          <w:rPr>
            <w:rFonts w:ascii="Century Gothic" w:hAnsi="Century Gothic"/>
            <w:sz w:val="24"/>
            <w:szCs w:val="24"/>
          </w:rPr>
          <w:tag w:val="goog_rdk_6"/>
          <w:id w:val="-320193109"/>
        </w:sdtPr>
        <w:sdtEndPr/>
        <w:sdtContent/>
      </w:sdt>
      <w:r w:rsidRPr="0016703E">
        <w:rPr>
          <w:rFonts w:ascii="Century Gothic" w:eastAsia="Arial" w:hAnsi="Century Gothic" w:cs="Arial"/>
          <w:sz w:val="24"/>
          <w:szCs w:val="24"/>
          <w:highlight w:val="white"/>
        </w:rPr>
        <w:t xml:space="preserve">Se recomienda usar probióticos para mejoría global de síntomas, calidad de vida, distensión abdominal y flatulencias. </w:t>
      </w:r>
    </w:p>
    <w:p w14:paraId="1CE94212" w14:textId="77777777" w:rsidR="00F2150C" w:rsidRPr="0016703E" w:rsidRDefault="00F2150C" w:rsidP="0016703E">
      <w:pPr>
        <w:spacing w:after="0" w:line="240" w:lineRule="auto"/>
        <w:ind w:left="720"/>
        <w:jc w:val="both"/>
        <w:rPr>
          <w:rFonts w:ascii="Century Gothic" w:eastAsia="Arial" w:hAnsi="Century Gothic" w:cs="Arial"/>
          <w:sz w:val="24"/>
          <w:szCs w:val="24"/>
          <w:highlight w:val="white"/>
        </w:rPr>
      </w:pPr>
    </w:p>
    <w:p w14:paraId="3B987C90"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Terapias psicológicas:</w:t>
      </w:r>
      <w:r w:rsidRPr="0016703E">
        <w:rPr>
          <w:rFonts w:ascii="Century Gothic" w:eastAsia="Arial" w:hAnsi="Century Gothic" w:cs="Arial"/>
          <w:sz w:val="24"/>
          <w:szCs w:val="24"/>
        </w:rPr>
        <w:t xml:space="preserve"> </w:t>
      </w:r>
      <w:sdt>
        <w:sdtPr>
          <w:rPr>
            <w:rFonts w:ascii="Century Gothic" w:hAnsi="Century Gothic"/>
            <w:sz w:val="24"/>
            <w:szCs w:val="24"/>
          </w:rPr>
          <w:tag w:val="goog_rdk_7"/>
          <w:id w:val="1902016407"/>
        </w:sdtPr>
        <w:sdtEndPr/>
        <w:sdtContent/>
      </w:sdt>
      <w:r w:rsidRPr="0016703E">
        <w:rPr>
          <w:rFonts w:ascii="Century Gothic" w:eastAsia="Arial" w:hAnsi="Century Gothic" w:cs="Arial"/>
          <w:sz w:val="24"/>
          <w:szCs w:val="24"/>
        </w:rPr>
        <w:t>Se sugiere realiza</w:t>
      </w:r>
      <w:r w:rsidRPr="0016703E">
        <w:rPr>
          <w:rFonts w:ascii="Century Gothic" w:eastAsia="Arial" w:hAnsi="Century Gothic" w:cs="Arial"/>
          <w:sz w:val="24"/>
          <w:szCs w:val="24"/>
          <w:highlight w:val="white"/>
        </w:rPr>
        <w:t xml:space="preserve">r terapias psicológicas </w:t>
      </w:r>
      <w:r w:rsidRPr="0016703E">
        <w:rPr>
          <w:rFonts w:ascii="Century Gothic" w:eastAsia="Arial" w:hAnsi="Century Gothic" w:cs="Arial"/>
          <w:sz w:val="24"/>
          <w:szCs w:val="24"/>
        </w:rPr>
        <w:t>(la terapia cognitivo conductual, la terapia de relajación, la terapia psicológica de componentes múltiples y la psicoterapia dinámica) como tratamiento complementario en aquellos pacientes que no han respondido a otras intervenciones farmacológicas y no farmacológicas luego de tres a seis meses de tratamiento adecuado y en aquellos pacientes en quienes adicionalmente se contemple una afectación importante en la esfera emocional para mejorar algunos síntomas y la calidad de vida (4).</w:t>
      </w:r>
    </w:p>
    <w:p w14:paraId="563CD5A0" w14:textId="77777777" w:rsidR="00F2150C" w:rsidRPr="0016703E" w:rsidRDefault="00F2150C" w:rsidP="0016703E">
      <w:pPr>
        <w:spacing w:after="0" w:line="240" w:lineRule="auto"/>
        <w:jc w:val="both"/>
        <w:rPr>
          <w:rFonts w:ascii="Century Gothic" w:eastAsia="Arial" w:hAnsi="Century Gothic" w:cs="Arial"/>
          <w:b/>
          <w:i/>
          <w:sz w:val="24"/>
          <w:szCs w:val="24"/>
          <w:highlight w:val="white"/>
        </w:rPr>
      </w:pPr>
    </w:p>
    <w:p w14:paraId="76DC3BEE"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Para que las medidas anteriormente citadas tengan éxito también se debe llevar a cabo orientaciones como:</w:t>
      </w:r>
    </w:p>
    <w:p w14:paraId="5F0AD18F" w14:textId="77777777" w:rsidR="003976DD" w:rsidRPr="0016703E" w:rsidRDefault="003976DD" w:rsidP="0016703E">
      <w:pPr>
        <w:spacing w:after="0" w:line="240" w:lineRule="auto"/>
        <w:jc w:val="both"/>
        <w:rPr>
          <w:rFonts w:ascii="Century Gothic" w:eastAsia="Arial" w:hAnsi="Century Gothic" w:cs="Arial"/>
          <w:sz w:val="24"/>
          <w:szCs w:val="24"/>
        </w:rPr>
      </w:pPr>
    </w:p>
    <w:p w14:paraId="79F40D5F"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Facilitar recordatorios.</w:t>
      </w:r>
    </w:p>
    <w:p w14:paraId="22B1F5B7"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Elaborar calendarios de cumplimiento.</w:t>
      </w:r>
    </w:p>
    <w:p w14:paraId="202C3F3B"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Proveer información sobre la fisiopatología, acorde a nivel cultural.</w:t>
      </w:r>
    </w:p>
    <w:p w14:paraId="5C82746D"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Incluir a los familiares y cuidadores.</w:t>
      </w:r>
    </w:p>
    <w:p w14:paraId="13B96A11" w14:textId="77777777" w:rsidR="00F2150C" w:rsidRPr="0016703E" w:rsidRDefault="00F2150C" w:rsidP="0016703E">
      <w:pPr>
        <w:spacing w:after="0" w:line="240" w:lineRule="auto"/>
        <w:jc w:val="both"/>
        <w:rPr>
          <w:rFonts w:ascii="Century Gothic" w:eastAsia="Arial" w:hAnsi="Century Gothic" w:cs="Arial"/>
          <w:sz w:val="24"/>
          <w:szCs w:val="24"/>
          <w:highlight w:val="white"/>
        </w:rPr>
      </w:pPr>
    </w:p>
    <w:p w14:paraId="5DD8F32D"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034BF16C"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339A37FC"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4B26DA4D" w14:textId="13796812" w:rsidR="00F2150C" w:rsidRDefault="00D84AD5" w:rsidP="0016703E">
      <w:pP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lastRenderedPageBreak/>
        <w:t>Farmacológico</w:t>
      </w:r>
    </w:p>
    <w:p w14:paraId="19B466E2" w14:textId="77777777" w:rsidR="003976DD" w:rsidRPr="0016703E" w:rsidRDefault="003976DD" w:rsidP="0016703E">
      <w:pPr>
        <w:spacing w:after="0" w:line="240" w:lineRule="auto"/>
        <w:jc w:val="both"/>
        <w:rPr>
          <w:rFonts w:ascii="Century Gothic" w:eastAsia="Arial" w:hAnsi="Century Gothic" w:cs="Arial"/>
          <w:b/>
          <w:sz w:val="24"/>
          <w:szCs w:val="24"/>
          <w:highlight w:val="white"/>
        </w:rPr>
      </w:pPr>
    </w:p>
    <w:p w14:paraId="2C91AACB" w14:textId="77777777" w:rsidR="00F2150C" w:rsidRPr="0016703E" w:rsidRDefault="00D84AD5" w:rsidP="0016703E">
      <w:pP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A </w:t>
      </w:r>
      <w:r w:rsidR="00497A99" w:rsidRPr="0016703E">
        <w:rPr>
          <w:rFonts w:ascii="Century Gothic" w:eastAsia="Arial" w:hAnsi="Century Gothic" w:cs="Arial"/>
          <w:sz w:val="24"/>
          <w:szCs w:val="24"/>
          <w:highlight w:val="white"/>
        </w:rPr>
        <w:t>continuación,</w:t>
      </w:r>
      <w:r w:rsidRPr="0016703E">
        <w:rPr>
          <w:rFonts w:ascii="Century Gothic" w:eastAsia="Arial" w:hAnsi="Century Gothic" w:cs="Arial"/>
          <w:sz w:val="24"/>
          <w:szCs w:val="24"/>
          <w:highlight w:val="white"/>
        </w:rPr>
        <w:t xml:space="preserve"> se muestra el tratamiento farmacológico en función de la clasificación del SII:</w:t>
      </w:r>
    </w:p>
    <w:p w14:paraId="6B51FA05" w14:textId="77777777" w:rsidR="00F2150C" w:rsidRPr="0016703E" w:rsidRDefault="00F2150C" w:rsidP="0016703E">
      <w:pPr>
        <w:spacing w:after="0" w:line="240" w:lineRule="auto"/>
        <w:jc w:val="both"/>
        <w:rPr>
          <w:rFonts w:ascii="Century Gothic" w:eastAsia="Arial" w:hAnsi="Century Gothic" w:cs="Arial"/>
          <w:sz w:val="24"/>
          <w:szCs w:val="24"/>
          <w:highlight w:val="white"/>
        </w:rPr>
      </w:pPr>
    </w:p>
    <w:p w14:paraId="42F18E92" w14:textId="77777777" w:rsidR="00F2150C" w:rsidRPr="0016703E" w:rsidRDefault="00D84AD5" w:rsidP="0016703E">
      <w:pPr>
        <w:spacing w:after="0" w:line="240" w:lineRule="auto"/>
        <w:ind w:left="720"/>
        <w:jc w:val="center"/>
        <w:rPr>
          <w:rFonts w:ascii="Century Gothic" w:eastAsia="Arial" w:hAnsi="Century Gothic" w:cs="Arial"/>
          <w:sz w:val="24"/>
          <w:szCs w:val="24"/>
        </w:rPr>
      </w:pPr>
      <w:r w:rsidRPr="0016703E">
        <w:rPr>
          <w:rFonts w:ascii="Century Gothic" w:eastAsia="Arial" w:hAnsi="Century Gothic" w:cs="Arial"/>
          <w:noProof/>
          <w:sz w:val="24"/>
          <w:szCs w:val="24"/>
        </w:rPr>
        <w:drawing>
          <wp:inline distT="114300" distB="114300" distL="114300" distR="114300" wp14:anchorId="45E29BCB" wp14:editId="217F9616">
            <wp:extent cx="5114925" cy="2933700"/>
            <wp:effectExtent l="0" t="0" r="9525" b="0"/>
            <wp:docPr id="1709465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885" t="1936" r="885" b="1355"/>
                    <a:stretch>
                      <a:fillRect/>
                    </a:stretch>
                  </pic:blipFill>
                  <pic:spPr>
                    <a:xfrm>
                      <a:off x="0" y="0"/>
                      <a:ext cx="5114925" cy="2933700"/>
                    </a:xfrm>
                    <a:prstGeom prst="rect">
                      <a:avLst/>
                    </a:prstGeom>
                    <a:ln/>
                  </pic:spPr>
                </pic:pic>
              </a:graphicData>
            </a:graphic>
          </wp:inline>
        </w:drawing>
      </w:r>
    </w:p>
    <w:p w14:paraId="0CB0BFBD" w14:textId="77777777" w:rsidR="003976DD" w:rsidRDefault="003976DD" w:rsidP="0016703E">
      <w:pPr>
        <w:spacing w:after="0" w:line="240" w:lineRule="auto"/>
        <w:jc w:val="both"/>
        <w:rPr>
          <w:rFonts w:ascii="Century Gothic" w:eastAsia="Arial" w:hAnsi="Century Gothic" w:cs="Arial"/>
          <w:sz w:val="24"/>
          <w:szCs w:val="24"/>
        </w:rPr>
      </w:pPr>
    </w:p>
    <w:p w14:paraId="47F76183" w14:textId="1BC5C203" w:rsidR="00F2150C" w:rsidRPr="0016703E" w:rsidRDefault="00497A99"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Tratamiento</w:t>
      </w:r>
      <w:r w:rsidR="00D84AD5" w:rsidRPr="0016703E">
        <w:rPr>
          <w:rFonts w:ascii="Century Gothic" w:eastAsia="Arial" w:hAnsi="Century Gothic" w:cs="Arial"/>
          <w:sz w:val="24"/>
          <w:szCs w:val="24"/>
        </w:rPr>
        <w:t xml:space="preserve"> de Síndrome de Intestino Irritable</w:t>
      </w:r>
    </w:p>
    <w:p w14:paraId="7864BCB2"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Fuente: Guía de práctica clínica en el diagnóstico y tratamiento del SII (4).</w:t>
      </w:r>
    </w:p>
    <w:p w14:paraId="4BA7FE43" w14:textId="77777777" w:rsidR="00F2150C" w:rsidRPr="0016703E" w:rsidRDefault="00F2150C" w:rsidP="0016703E">
      <w:pPr>
        <w:spacing w:after="0" w:line="240" w:lineRule="auto"/>
        <w:jc w:val="both"/>
        <w:rPr>
          <w:rFonts w:ascii="Century Gothic" w:eastAsia="Arial" w:hAnsi="Century Gothic" w:cs="Arial"/>
          <w:sz w:val="24"/>
          <w:szCs w:val="24"/>
        </w:rPr>
      </w:pPr>
    </w:p>
    <w:p w14:paraId="06D22516" w14:textId="77777777" w:rsidR="00F2150C" w:rsidRPr="0016703E" w:rsidRDefault="00D84AD5" w:rsidP="0016703E">
      <w:pPr>
        <w:numPr>
          <w:ilvl w:val="0"/>
          <w:numId w:val="3"/>
        </w:num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SII con estreñimiento:</w:t>
      </w:r>
      <w:r w:rsidRPr="0016703E">
        <w:rPr>
          <w:rFonts w:ascii="Century Gothic" w:eastAsia="Arial" w:hAnsi="Century Gothic" w:cs="Arial"/>
          <w:sz w:val="24"/>
          <w:szCs w:val="24"/>
        </w:rPr>
        <w:t xml:space="preserve"> sin respuesta al manejo dietario, se indicará</w:t>
      </w:r>
      <w:r w:rsidRPr="0016703E">
        <w:rPr>
          <w:rFonts w:ascii="Century Gothic" w:eastAsia="Arial" w:hAnsi="Century Gothic" w:cs="Arial"/>
          <w:sz w:val="24"/>
          <w:szCs w:val="24"/>
          <w:highlight w:val="white"/>
        </w:rPr>
        <w:t xml:space="preserve"> laxantes osmóticos (polietilenglicol) como primera línea de tratamiento seguidos de </w:t>
      </w:r>
      <w:proofErr w:type="spellStart"/>
      <w:r w:rsidRPr="0016703E">
        <w:rPr>
          <w:rFonts w:ascii="Century Gothic" w:eastAsia="Arial" w:hAnsi="Century Gothic" w:cs="Arial"/>
          <w:sz w:val="24"/>
          <w:szCs w:val="24"/>
          <w:highlight w:val="white"/>
        </w:rPr>
        <w:t>secretagogos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linaclotide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lubiprostone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plecanatide</w:t>
      </w:r>
      <w:proofErr w:type="spellEnd"/>
      <w:r w:rsidRPr="0016703E">
        <w:rPr>
          <w:rFonts w:ascii="Century Gothic" w:eastAsia="Arial" w:hAnsi="Century Gothic" w:cs="Arial"/>
          <w:sz w:val="24"/>
          <w:szCs w:val="24"/>
          <w:highlight w:val="white"/>
        </w:rPr>
        <w:t xml:space="preserve"> o </w:t>
      </w:r>
      <w:proofErr w:type="spellStart"/>
      <w:r w:rsidRPr="0016703E">
        <w:rPr>
          <w:rFonts w:ascii="Century Gothic" w:eastAsia="Arial" w:hAnsi="Century Gothic" w:cs="Arial"/>
          <w:sz w:val="24"/>
          <w:szCs w:val="24"/>
          <w:highlight w:val="white"/>
        </w:rPr>
        <w:t>tenapanor</w:t>
      </w:r>
      <w:proofErr w:type="spellEnd"/>
      <w:r w:rsidRPr="0016703E">
        <w:rPr>
          <w:rFonts w:ascii="Century Gothic" w:eastAsia="Arial" w:hAnsi="Century Gothic" w:cs="Arial"/>
          <w:sz w:val="24"/>
          <w:szCs w:val="24"/>
          <w:highlight w:val="white"/>
        </w:rPr>
        <w:t xml:space="preserve">). En los episodios agudos de estreñimiento se indicará laxantes estimulantes (bisacodilo o </w:t>
      </w:r>
      <w:proofErr w:type="spellStart"/>
      <w:r w:rsidRPr="0016703E">
        <w:rPr>
          <w:rFonts w:ascii="Century Gothic" w:eastAsia="Arial" w:hAnsi="Century Gothic" w:cs="Arial"/>
          <w:sz w:val="24"/>
          <w:szCs w:val="24"/>
          <w:highlight w:val="white"/>
        </w:rPr>
        <w:t>picosulfato</w:t>
      </w:r>
      <w:proofErr w:type="spellEnd"/>
      <w:r w:rsidRPr="0016703E">
        <w:rPr>
          <w:rFonts w:ascii="Century Gothic" w:eastAsia="Arial" w:hAnsi="Century Gothic" w:cs="Arial"/>
          <w:sz w:val="24"/>
          <w:szCs w:val="24"/>
          <w:highlight w:val="white"/>
        </w:rPr>
        <w:t xml:space="preserve"> de sodio).</w:t>
      </w:r>
    </w:p>
    <w:p w14:paraId="46E5812D" w14:textId="77777777" w:rsidR="00F2150C" w:rsidRPr="0016703E" w:rsidRDefault="00D84AD5" w:rsidP="0016703E">
      <w:pPr>
        <w:spacing w:after="0" w:line="240" w:lineRule="auto"/>
        <w:ind w:left="720"/>
        <w:jc w:val="both"/>
        <w:rPr>
          <w:rFonts w:ascii="Century Gothic" w:eastAsia="Arial" w:hAnsi="Century Gothic" w:cs="Arial"/>
          <w:sz w:val="24"/>
          <w:szCs w:val="24"/>
          <w:highlight w:val="white"/>
        </w:rPr>
      </w:pPr>
      <w:r w:rsidRPr="0016703E">
        <w:rPr>
          <w:rFonts w:ascii="Century Gothic" w:eastAsia="Arial" w:hAnsi="Century Gothic" w:cs="Arial"/>
          <w:sz w:val="24"/>
          <w:szCs w:val="24"/>
        </w:rPr>
        <w:t xml:space="preserve">Este tipo de laxantes ha demostrado mejoría en la frecuencia de deposiciones, pero no en el dolor abdominal y la distensión. El </w:t>
      </w:r>
      <w:r w:rsidR="00497A99" w:rsidRPr="0016703E">
        <w:rPr>
          <w:rFonts w:ascii="Century Gothic" w:eastAsia="Arial" w:hAnsi="Century Gothic" w:cs="Arial"/>
          <w:sz w:val="24"/>
          <w:szCs w:val="24"/>
        </w:rPr>
        <w:t>polietilenglicol demostró</w:t>
      </w:r>
      <w:r w:rsidRPr="0016703E">
        <w:rPr>
          <w:rFonts w:ascii="Century Gothic" w:eastAsia="Arial" w:hAnsi="Century Gothic" w:cs="Arial"/>
          <w:sz w:val="24"/>
          <w:szCs w:val="24"/>
        </w:rPr>
        <w:t xml:space="preserve"> mejor efectividad frente a la lactulosa (34-37).</w:t>
      </w:r>
    </w:p>
    <w:p w14:paraId="6D99806C" w14:textId="77777777" w:rsidR="00F2150C" w:rsidRPr="0016703E" w:rsidRDefault="00F2150C" w:rsidP="0016703E">
      <w:pPr>
        <w:spacing w:after="0" w:line="240" w:lineRule="auto"/>
        <w:ind w:left="720"/>
        <w:jc w:val="both"/>
        <w:rPr>
          <w:rFonts w:ascii="Century Gothic" w:eastAsia="Arial" w:hAnsi="Century Gothic" w:cs="Arial"/>
          <w:sz w:val="24"/>
          <w:szCs w:val="24"/>
          <w:highlight w:val="white"/>
        </w:rPr>
      </w:pPr>
    </w:p>
    <w:p w14:paraId="521EC517" w14:textId="77777777" w:rsidR="003976DD" w:rsidRDefault="00D84AD5" w:rsidP="003976DD">
      <w:pPr>
        <w:numPr>
          <w:ilvl w:val="0"/>
          <w:numId w:val="3"/>
        </w:numPr>
        <w:spacing w:after="0" w:line="240" w:lineRule="auto"/>
        <w:jc w:val="both"/>
        <w:rPr>
          <w:rFonts w:ascii="Century Gothic" w:hAnsi="Century Gothic"/>
          <w:sz w:val="24"/>
          <w:szCs w:val="24"/>
        </w:rPr>
      </w:pPr>
      <w:r w:rsidRPr="0016703E">
        <w:rPr>
          <w:rFonts w:ascii="Century Gothic" w:eastAsia="Arial" w:hAnsi="Century Gothic" w:cs="Arial"/>
          <w:b/>
          <w:sz w:val="24"/>
          <w:szCs w:val="24"/>
        </w:rPr>
        <w:t xml:space="preserve">SII con diarrea: </w:t>
      </w:r>
      <w:r w:rsidRPr="0016703E">
        <w:rPr>
          <w:rFonts w:ascii="Century Gothic" w:eastAsia="Arial" w:hAnsi="Century Gothic" w:cs="Arial"/>
          <w:sz w:val="24"/>
          <w:szCs w:val="24"/>
        </w:rPr>
        <w:t>se indicará loperamida como primera línea de tratamiento seguido de</w:t>
      </w:r>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rifaximina</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ondansetrón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alosetrón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ramosetrón</w:t>
      </w:r>
      <w:proofErr w:type="spellEnd"/>
      <w:r w:rsidRPr="0016703E">
        <w:rPr>
          <w:rFonts w:ascii="Century Gothic" w:eastAsia="Arial" w:hAnsi="Century Gothic" w:cs="Arial"/>
          <w:sz w:val="24"/>
          <w:szCs w:val="24"/>
          <w:highlight w:val="white"/>
        </w:rPr>
        <w:t xml:space="preserve"> o </w:t>
      </w:r>
      <w:proofErr w:type="spellStart"/>
      <w:r w:rsidRPr="0016703E">
        <w:rPr>
          <w:rFonts w:ascii="Century Gothic" w:eastAsia="Arial" w:hAnsi="Century Gothic" w:cs="Arial"/>
          <w:sz w:val="24"/>
          <w:szCs w:val="24"/>
          <w:highlight w:val="white"/>
        </w:rPr>
        <w:t>eluxadolina</w:t>
      </w:r>
      <w:proofErr w:type="spellEnd"/>
      <w:r w:rsidRPr="0016703E">
        <w:rPr>
          <w:rFonts w:ascii="Century Gothic" w:eastAsia="Arial" w:hAnsi="Century Gothic" w:cs="Arial"/>
          <w:sz w:val="24"/>
          <w:szCs w:val="24"/>
          <w:highlight w:val="white"/>
        </w:rPr>
        <w:t xml:space="preserve">. </w:t>
      </w:r>
      <w:r w:rsidRPr="0016703E">
        <w:rPr>
          <w:rFonts w:ascii="Century Gothic" w:eastAsia="Arial" w:hAnsi="Century Gothic" w:cs="Arial"/>
          <w:b/>
          <w:i/>
          <w:sz w:val="24"/>
          <w:szCs w:val="24"/>
          <w:highlight w:val="white"/>
        </w:rPr>
        <w:t xml:space="preserve">No usar </w:t>
      </w:r>
      <w:proofErr w:type="spellStart"/>
      <w:r w:rsidRPr="0016703E">
        <w:rPr>
          <w:rFonts w:ascii="Century Gothic" w:eastAsia="Arial" w:hAnsi="Century Gothic" w:cs="Arial"/>
          <w:b/>
          <w:i/>
          <w:sz w:val="24"/>
          <w:szCs w:val="24"/>
          <w:highlight w:val="white"/>
        </w:rPr>
        <w:t>difenoxilato</w:t>
      </w:r>
      <w:proofErr w:type="spellEnd"/>
      <w:r w:rsidRPr="0016703E">
        <w:rPr>
          <w:rFonts w:ascii="Century Gothic" w:eastAsia="Arial" w:hAnsi="Century Gothic" w:cs="Arial"/>
          <w:b/>
          <w:i/>
          <w:sz w:val="24"/>
          <w:szCs w:val="24"/>
          <w:highlight w:val="white"/>
        </w:rPr>
        <w:t xml:space="preserve"> en el tratamiento del episodio agudo de diarrea y SII.</w:t>
      </w:r>
    </w:p>
    <w:p w14:paraId="2AE80B2A" w14:textId="351718CA" w:rsidR="00F2150C" w:rsidRPr="003976DD" w:rsidRDefault="00D84AD5" w:rsidP="003976DD">
      <w:pPr>
        <w:spacing w:after="0" w:line="240" w:lineRule="auto"/>
        <w:jc w:val="both"/>
        <w:rPr>
          <w:rFonts w:ascii="Century Gothic" w:hAnsi="Century Gothic"/>
          <w:sz w:val="24"/>
          <w:szCs w:val="24"/>
        </w:rPr>
      </w:pPr>
      <w:r w:rsidRPr="003976DD">
        <w:rPr>
          <w:rFonts w:ascii="Century Gothic" w:eastAsia="Arial" w:hAnsi="Century Gothic" w:cs="Arial"/>
          <w:sz w:val="24"/>
          <w:szCs w:val="24"/>
        </w:rPr>
        <w:lastRenderedPageBreak/>
        <w:t>La loperamida es efectiva en el tratamiento sintomático de la diarrea asociada al SII, aunque no para la mejoría global del mismo.</w:t>
      </w:r>
    </w:p>
    <w:p w14:paraId="230103F4" w14:textId="77777777" w:rsidR="00F2150C" w:rsidRPr="0016703E" w:rsidRDefault="00F2150C" w:rsidP="0016703E">
      <w:pPr>
        <w:spacing w:after="0" w:line="240" w:lineRule="auto"/>
        <w:ind w:left="720"/>
        <w:jc w:val="both"/>
        <w:rPr>
          <w:rFonts w:ascii="Century Gothic" w:eastAsia="Arial" w:hAnsi="Century Gothic" w:cs="Arial"/>
          <w:b/>
          <w:i/>
          <w:sz w:val="24"/>
          <w:szCs w:val="24"/>
          <w:highlight w:val="white"/>
        </w:rPr>
      </w:pPr>
    </w:p>
    <w:p w14:paraId="06A8BE3E" w14:textId="77777777" w:rsidR="003976DD" w:rsidRDefault="003976DD" w:rsidP="003976DD">
      <w:pPr>
        <w:spacing w:after="0" w:line="240" w:lineRule="auto"/>
        <w:jc w:val="both"/>
        <w:rPr>
          <w:rFonts w:ascii="Century Gothic" w:eastAsia="Arial" w:hAnsi="Century Gothic" w:cs="Arial"/>
          <w:b/>
          <w:sz w:val="24"/>
          <w:szCs w:val="24"/>
          <w:highlight w:val="white"/>
        </w:rPr>
      </w:pPr>
    </w:p>
    <w:p w14:paraId="79017C3B" w14:textId="73B8768C" w:rsidR="00F2150C" w:rsidRPr="0016703E" w:rsidRDefault="00D84AD5" w:rsidP="003976DD">
      <w:pPr>
        <w:spacing w:after="0" w:line="240" w:lineRule="auto"/>
        <w:jc w:val="both"/>
        <w:rPr>
          <w:rFonts w:ascii="Century Gothic" w:hAnsi="Century Gothic"/>
          <w:sz w:val="24"/>
          <w:szCs w:val="24"/>
        </w:rPr>
      </w:pPr>
      <w:r w:rsidRPr="0016703E">
        <w:rPr>
          <w:rFonts w:ascii="Century Gothic" w:eastAsia="Arial" w:hAnsi="Century Gothic" w:cs="Arial"/>
          <w:b/>
          <w:sz w:val="24"/>
          <w:szCs w:val="24"/>
          <w:highlight w:val="white"/>
        </w:rPr>
        <w:t>SII con dolor abdominal:</w:t>
      </w:r>
      <w:r w:rsidRPr="0016703E">
        <w:rPr>
          <w:rFonts w:ascii="Century Gothic" w:eastAsia="Arial" w:hAnsi="Century Gothic" w:cs="Arial"/>
          <w:sz w:val="24"/>
          <w:szCs w:val="24"/>
          <w:highlight w:val="white"/>
        </w:rPr>
        <w:t xml:space="preserve"> se indicará antiespasmódico como primera línea seguido de neuromoduladores (antidepresivos).</w:t>
      </w:r>
    </w:p>
    <w:p w14:paraId="4907E668"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4F1F111A"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Los antiespasmódicos han sido útiles en la mejoría de síntomas como el dolor y la distensión abdominal, sin embargo, pueden provocar sequedad bucal y estreñimiento teniendo presente que la presencia de estos es baja (38).</w:t>
      </w:r>
    </w:p>
    <w:p w14:paraId="06E78417" w14:textId="77777777" w:rsidR="003976DD" w:rsidRPr="0016703E" w:rsidRDefault="003976DD" w:rsidP="0016703E">
      <w:pPr>
        <w:spacing w:after="0" w:line="240" w:lineRule="auto"/>
        <w:jc w:val="both"/>
        <w:rPr>
          <w:rFonts w:ascii="Century Gothic" w:eastAsia="Arial" w:hAnsi="Century Gothic" w:cs="Arial"/>
          <w:sz w:val="24"/>
          <w:szCs w:val="24"/>
          <w:highlight w:val="white"/>
        </w:rPr>
      </w:pPr>
    </w:p>
    <w:p w14:paraId="75DFECCE" w14:textId="77777777" w:rsidR="00F2150C" w:rsidRDefault="00D84AD5" w:rsidP="0016703E">
      <w:pPr>
        <w:spacing w:after="0" w:line="240" w:lineRule="auto"/>
        <w:jc w:val="both"/>
        <w:rPr>
          <w:rFonts w:ascii="Century Gothic" w:eastAsia="Arial" w:hAnsi="Century Gothic" w:cs="Arial"/>
          <w:b/>
          <w:sz w:val="24"/>
          <w:szCs w:val="24"/>
        </w:rPr>
      </w:pPr>
      <w:r w:rsidRPr="0016703E">
        <w:rPr>
          <w:rFonts w:ascii="Century Gothic" w:eastAsia="Arial" w:hAnsi="Century Gothic" w:cs="Arial"/>
          <w:b/>
          <w:i/>
          <w:sz w:val="24"/>
          <w:szCs w:val="24"/>
          <w:highlight w:val="white"/>
        </w:rPr>
        <w:t xml:space="preserve">En pacientes con síndrome de intestino irritable con estreñimiento, se deben evitar los antidepresivos tricíclicos, porque pueden empeorarlo; en pacientes con síndrome de intestino irritable con diarrea, se deben evitar los antidepresivos inhibidores selectivos de la recaptación de la serotonina, porque pueden empeorar este síntoma </w:t>
      </w:r>
      <w:r w:rsidRPr="0016703E">
        <w:rPr>
          <w:rFonts w:ascii="Century Gothic" w:eastAsia="Arial" w:hAnsi="Century Gothic" w:cs="Arial"/>
          <w:b/>
          <w:i/>
          <w:sz w:val="24"/>
          <w:szCs w:val="24"/>
        </w:rPr>
        <w:t>(39)</w:t>
      </w:r>
      <w:r w:rsidRPr="0016703E">
        <w:rPr>
          <w:rFonts w:ascii="Century Gothic" w:eastAsia="Arial" w:hAnsi="Century Gothic" w:cs="Arial"/>
          <w:b/>
          <w:sz w:val="24"/>
          <w:szCs w:val="24"/>
        </w:rPr>
        <w:t>.</w:t>
      </w:r>
    </w:p>
    <w:p w14:paraId="2BAE6770" w14:textId="77777777" w:rsidR="003976DD" w:rsidRPr="0016703E" w:rsidRDefault="003976DD" w:rsidP="0016703E">
      <w:pPr>
        <w:spacing w:after="0" w:line="240" w:lineRule="auto"/>
        <w:jc w:val="both"/>
        <w:rPr>
          <w:rFonts w:ascii="Century Gothic" w:eastAsia="Arial" w:hAnsi="Century Gothic" w:cs="Arial"/>
          <w:b/>
          <w:i/>
          <w:sz w:val="24"/>
          <w:szCs w:val="24"/>
          <w:highlight w:val="white"/>
        </w:rPr>
      </w:pPr>
    </w:p>
    <w:p w14:paraId="2A8C9D4A" w14:textId="77777777" w:rsidR="00F2150C" w:rsidRDefault="00D84AD5" w:rsidP="0016703E">
      <w:pPr>
        <w:numPr>
          <w:ilvl w:val="0"/>
          <w:numId w:val="11"/>
        </w:numP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b/>
          <w:sz w:val="24"/>
          <w:szCs w:val="24"/>
          <w:highlight w:val="white"/>
        </w:rPr>
        <w:t>SII con síntomas globales:</w:t>
      </w:r>
      <w:r w:rsidRPr="0016703E">
        <w:rPr>
          <w:rFonts w:ascii="Century Gothic" w:eastAsia="Arial" w:hAnsi="Century Gothic" w:cs="Arial"/>
          <w:sz w:val="24"/>
          <w:szCs w:val="24"/>
          <w:highlight w:val="white"/>
        </w:rPr>
        <w:t xml:space="preserve"> uso de antagonistas de receptores de 5-hidroxitriptamina (5-HT 3), antiespasmódicos, neuromoduladores (antidepresivos), </w:t>
      </w:r>
      <w:proofErr w:type="spellStart"/>
      <w:r w:rsidRPr="0016703E">
        <w:rPr>
          <w:rFonts w:ascii="Century Gothic" w:eastAsia="Arial" w:hAnsi="Century Gothic" w:cs="Arial"/>
          <w:sz w:val="24"/>
          <w:szCs w:val="24"/>
          <w:highlight w:val="white"/>
        </w:rPr>
        <w:t>rifaximina</w:t>
      </w:r>
      <w:proofErr w:type="spellEnd"/>
      <w:r w:rsidRPr="0016703E">
        <w:rPr>
          <w:rFonts w:ascii="Century Gothic" w:eastAsia="Arial" w:hAnsi="Century Gothic" w:cs="Arial"/>
          <w:sz w:val="24"/>
          <w:szCs w:val="24"/>
          <w:highlight w:val="white"/>
        </w:rPr>
        <w:t xml:space="preserve">, </w:t>
      </w:r>
      <w:r w:rsidR="00497A99" w:rsidRPr="0016703E">
        <w:rPr>
          <w:rFonts w:ascii="Century Gothic" w:eastAsia="Arial" w:hAnsi="Century Gothic" w:cs="Arial"/>
          <w:sz w:val="24"/>
          <w:szCs w:val="24"/>
          <w:highlight w:val="white"/>
        </w:rPr>
        <w:t>agonistas receptores</w:t>
      </w:r>
      <w:r w:rsidRPr="0016703E">
        <w:rPr>
          <w:rFonts w:ascii="Century Gothic" w:eastAsia="Arial" w:hAnsi="Century Gothic" w:cs="Arial"/>
          <w:sz w:val="24"/>
          <w:szCs w:val="24"/>
          <w:highlight w:val="white"/>
        </w:rPr>
        <w:t xml:space="preserve"> 5HT4, agonistas-antagonistas opiáceos y </w:t>
      </w:r>
      <w:proofErr w:type="spellStart"/>
      <w:r w:rsidRPr="0016703E">
        <w:rPr>
          <w:rFonts w:ascii="Century Gothic" w:eastAsia="Arial" w:hAnsi="Century Gothic" w:cs="Arial"/>
          <w:sz w:val="24"/>
          <w:szCs w:val="24"/>
          <w:highlight w:val="white"/>
        </w:rPr>
        <w:t>secretagogos</w:t>
      </w:r>
      <w:proofErr w:type="spellEnd"/>
      <w:r w:rsidRPr="0016703E">
        <w:rPr>
          <w:rFonts w:ascii="Century Gothic" w:eastAsia="Arial" w:hAnsi="Century Gothic" w:cs="Arial"/>
          <w:sz w:val="24"/>
          <w:szCs w:val="24"/>
          <w:highlight w:val="white"/>
        </w:rPr>
        <w:t xml:space="preserve"> para el tratamiento de pacientes con diagnóstico de síndrome de intestino irritable (según manifestación predominante).</w:t>
      </w:r>
    </w:p>
    <w:p w14:paraId="41F08575" w14:textId="77777777" w:rsidR="003976DD" w:rsidRPr="0016703E" w:rsidRDefault="003976DD" w:rsidP="003976DD">
      <w:pPr>
        <w:spacing w:after="0" w:line="240" w:lineRule="auto"/>
        <w:ind w:left="720"/>
        <w:jc w:val="both"/>
        <w:rPr>
          <w:rFonts w:ascii="Century Gothic" w:eastAsia="Arial" w:hAnsi="Century Gothic" w:cs="Arial"/>
          <w:sz w:val="24"/>
          <w:szCs w:val="24"/>
          <w:highlight w:val="white"/>
        </w:rPr>
      </w:pPr>
    </w:p>
    <w:p w14:paraId="6F7ADC7F"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La </w:t>
      </w:r>
      <w:proofErr w:type="spellStart"/>
      <w:r w:rsidRPr="0016703E">
        <w:rPr>
          <w:rFonts w:ascii="Century Gothic" w:eastAsia="Arial" w:hAnsi="Century Gothic" w:cs="Arial"/>
          <w:sz w:val="24"/>
          <w:szCs w:val="24"/>
        </w:rPr>
        <w:t>pucaloprida</w:t>
      </w:r>
      <w:proofErr w:type="spellEnd"/>
      <w:r w:rsidRPr="0016703E">
        <w:rPr>
          <w:rFonts w:ascii="Century Gothic" w:eastAsia="Arial" w:hAnsi="Century Gothic" w:cs="Arial"/>
          <w:sz w:val="24"/>
          <w:szCs w:val="24"/>
        </w:rPr>
        <w:t xml:space="preserve"> es un agonista del receptor 5-HT4 a nivel intestinal, encargado de estimular la motilidad intestinal, el peristaltismo y tránsito intestinal, este medicamento en los diferentes estudios ha demostrado mejoría en el estreñimiento, dolor, distensión abdominal y calidad de vida (40).</w:t>
      </w:r>
    </w:p>
    <w:p w14:paraId="5769F251" w14:textId="77777777" w:rsidR="00F2150C" w:rsidRPr="0016703E" w:rsidRDefault="00F2150C" w:rsidP="0016703E">
      <w:pPr>
        <w:spacing w:after="0" w:line="240" w:lineRule="auto"/>
        <w:jc w:val="both"/>
        <w:rPr>
          <w:rFonts w:ascii="Century Gothic" w:eastAsia="Arial" w:hAnsi="Century Gothic" w:cs="Arial"/>
          <w:sz w:val="24"/>
          <w:szCs w:val="24"/>
        </w:rPr>
      </w:pPr>
    </w:p>
    <w:p w14:paraId="1681E2C6" w14:textId="77777777" w:rsidR="00F2150C" w:rsidRPr="0016703E"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En conclusión, se observa como existe una lista de recomendaciones farmacológicas y no farmacológicas para el manejo del SII. En donde </w:t>
      </w:r>
      <w:r w:rsidRPr="0016703E">
        <w:rPr>
          <w:rFonts w:ascii="Century Gothic" w:eastAsia="Arial" w:hAnsi="Century Gothic" w:cs="Arial"/>
          <w:color w:val="000000"/>
          <w:sz w:val="24"/>
          <w:szCs w:val="24"/>
        </w:rPr>
        <w:t>la adherencia y cumplimiento del tratamiento es un factor indispensable para el éxito y la mejoría de los síntomas</w:t>
      </w:r>
      <w:r w:rsidRPr="0016703E">
        <w:rPr>
          <w:rFonts w:ascii="Century Gothic" w:eastAsia="Arial" w:hAnsi="Century Gothic" w:cs="Arial"/>
          <w:sz w:val="24"/>
          <w:szCs w:val="24"/>
        </w:rPr>
        <w:t>.</w:t>
      </w:r>
    </w:p>
    <w:p w14:paraId="0FE57523"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70CB83D2"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4A8D13C3"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213BFF13" w14:textId="77777777" w:rsidR="00497A99" w:rsidRPr="0016703E" w:rsidRDefault="00497A99"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553A9616" w14:textId="77777777" w:rsidR="00620A4E" w:rsidRPr="0016703E" w:rsidRDefault="00620A4E" w:rsidP="0016703E">
      <w:pPr>
        <w:pBdr>
          <w:top w:val="nil"/>
          <w:left w:val="nil"/>
          <w:bottom w:val="nil"/>
          <w:right w:val="nil"/>
          <w:between w:val="nil"/>
        </w:pBdr>
        <w:spacing w:after="0" w:line="240" w:lineRule="auto"/>
        <w:jc w:val="both"/>
        <w:rPr>
          <w:rFonts w:ascii="Century Gothic" w:eastAsia="Arial" w:hAnsi="Century Gothic" w:cs="Arial"/>
          <w:sz w:val="24"/>
          <w:szCs w:val="24"/>
        </w:rPr>
      </w:pPr>
    </w:p>
    <w:bookmarkStart w:id="3" w:name="_heading=h.1t3h5sf" w:colFirst="0" w:colLast="0"/>
    <w:bookmarkEnd w:id="3"/>
    <w:p w14:paraId="1014190B" w14:textId="4C7620AB" w:rsidR="00497A99" w:rsidRPr="0016703E" w:rsidRDefault="000505ED" w:rsidP="0016703E">
      <w:pPr>
        <w:spacing w:after="0" w:line="240" w:lineRule="auto"/>
        <w:rPr>
          <w:rFonts w:ascii="Century Gothic" w:eastAsia="Arial" w:hAnsi="Century Gothic" w:cs="Arial"/>
          <w:sz w:val="24"/>
          <w:szCs w:val="24"/>
        </w:rPr>
      </w:pPr>
      <w:r w:rsidRPr="0016703E">
        <w:rPr>
          <w:rFonts w:ascii="Century Gothic" w:hAnsi="Century Gothic"/>
          <w:noProof/>
          <w:sz w:val="24"/>
          <w:szCs w:val="24"/>
        </w:rPr>
        <w:lastRenderedPageBreak/>
        <mc:AlternateContent>
          <mc:Choice Requires="wps">
            <w:drawing>
              <wp:anchor distT="0" distB="0" distL="114300" distR="114300" simplePos="0" relativeHeight="251659264" behindDoc="0" locked="0" layoutInCell="1" hidden="0" allowOverlap="1" wp14:anchorId="36AD8D94" wp14:editId="78BBA150">
                <wp:simplePos x="0" y="0"/>
                <wp:positionH relativeFrom="margin">
                  <wp:posOffset>1739265</wp:posOffset>
                </wp:positionH>
                <wp:positionV relativeFrom="paragraph">
                  <wp:posOffset>-57150</wp:posOffset>
                </wp:positionV>
                <wp:extent cx="2257425" cy="838200"/>
                <wp:effectExtent l="0" t="0" r="28575" b="19050"/>
                <wp:wrapNone/>
                <wp:docPr id="1709465720" name="Rectángulo 1709465720"/>
                <wp:cNvGraphicFramePr/>
                <a:graphic xmlns:a="http://schemas.openxmlformats.org/drawingml/2006/main">
                  <a:graphicData uri="http://schemas.microsoft.com/office/word/2010/wordprocessingShape">
                    <wps:wsp>
                      <wps:cNvSpPr/>
                      <wps:spPr>
                        <a:xfrm>
                          <a:off x="0" y="0"/>
                          <a:ext cx="2257425"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05F533" w14:textId="77777777" w:rsidR="00F2150C" w:rsidRDefault="00D84AD5" w:rsidP="00107CAF">
                            <w:pPr>
                              <w:spacing w:line="275" w:lineRule="auto"/>
                              <w:jc w:val="center"/>
                              <w:textDirection w:val="btLr"/>
                            </w:pPr>
                            <w:r>
                              <w:rPr>
                                <w:color w:val="000000"/>
                              </w:rPr>
                              <w:t>Paciente con cuadro de dolor abdominal al menos tres días por mes en los últimos tres meses y cumple criterios de Roma IV</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AD8D94" id="Rectángulo 1709465720" o:spid="_x0000_s1026" style="position:absolute;margin-left:136.95pt;margin-top:-4.5pt;width:177.75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">
                <v:stroke startarrowwidth="narrow" startarrowlength="short" endarrowwidth="narrow" endarrowlength="short"/>
                <v:textbox inset="2.53958mm,1.2694mm,2.53958mm,1.2694mm">
                  <w:txbxContent>
                    <w:p w14:paraId="2C05F533" w14:textId="77777777" w:rsidR="00F2150C" w:rsidRDefault="00D84AD5" w:rsidP="00107CAF">
                      <w:pPr>
                        <w:spacing w:line="275" w:lineRule="auto"/>
                        <w:jc w:val="center"/>
                        <w:textDirection w:val="btLr"/>
                      </w:pPr>
                      <w:r>
                        <w:rPr>
                          <w:color w:val="000000"/>
                        </w:rPr>
                        <w:t>Paciente con cuadro de dolor abdominal al menos tres días por mes en los últimos tres meses y cumple criterios de Roma IV</w:t>
                      </w:r>
                    </w:p>
                  </w:txbxContent>
                </v:textbox>
                <w10:wrap anchorx="margin"/>
              </v:rect>
            </w:pict>
          </mc:Fallback>
        </mc:AlternateContent>
      </w:r>
    </w:p>
    <w:bookmarkStart w:id="4" w:name="_heading=h.4d34og8" w:colFirst="0" w:colLast="0" w:displacedByCustomXml="next"/>
    <w:bookmarkEnd w:id="4" w:displacedByCustomXml="next"/>
    <w:sdt>
      <w:sdtPr>
        <w:rPr>
          <w:rFonts w:ascii="Century Gothic" w:eastAsia="Arial" w:hAnsi="Century Gothic" w:cs="Arial"/>
          <w:b w:val="0"/>
          <w:bCs w:val="0"/>
          <w:kern w:val="0"/>
          <w:sz w:val="24"/>
          <w:szCs w:val="24"/>
        </w:rPr>
        <w:id w:val="105550912"/>
        <w:lock w:val="contentLocked"/>
        <w:placeholder>
          <w:docPart w:val="DefaultPlaceholder_-1854013440"/>
        </w:placeholder>
        <w:group/>
      </w:sdtPr>
      <w:sdtEndPr/>
      <w:sdtContent>
        <w:p w14:paraId="6E1172E4" w14:textId="74D75002" w:rsidR="00F2150C" w:rsidRPr="0016703E" w:rsidRDefault="00D84AD5" w:rsidP="0016703E">
          <w:pPr>
            <w:pStyle w:val="Ttulo1"/>
            <w:spacing w:before="0" w:beforeAutospacing="0" w:after="0" w:afterAutospacing="0"/>
            <w:rPr>
              <w:rFonts w:ascii="Century Gothic" w:eastAsia="Arial" w:hAnsi="Century Gothic" w:cs="Arial"/>
              <w:b w:val="0"/>
              <w:sz w:val="24"/>
              <w:szCs w:val="24"/>
            </w:rPr>
          </w:pPr>
          <w:r w:rsidRPr="0016703E">
            <w:rPr>
              <w:rFonts w:ascii="Century Gothic" w:eastAsia="Arial" w:hAnsi="Century Gothic" w:cs="Arial"/>
              <w:sz w:val="24"/>
              <w:szCs w:val="24"/>
            </w:rPr>
            <w:t>FLUJOGRAMA</w:t>
          </w:r>
        </w:p>
        <w:p w14:paraId="2E718200"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b/>
          </w:r>
        </w:p>
        <w:p w14:paraId="53950680" w14:textId="596EFC14" w:rsidR="00F2150C" w:rsidRPr="0016703E" w:rsidRDefault="00F2150C" w:rsidP="0016703E">
          <w:pPr>
            <w:spacing w:after="0" w:line="240" w:lineRule="auto"/>
            <w:jc w:val="both"/>
            <w:rPr>
              <w:rFonts w:ascii="Century Gothic" w:eastAsia="Arial" w:hAnsi="Century Gothic" w:cs="Arial"/>
              <w:sz w:val="24"/>
              <w:szCs w:val="24"/>
            </w:rPr>
          </w:pPr>
        </w:p>
        <w:p w14:paraId="172747CD" w14:textId="29FA1717" w:rsidR="00F2150C" w:rsidRPr="0016703E" w:rsidRDefault="000505ED" w:rsidP="0016703E">
          <w:pPr>
            <w:spacing w:after="0" w:line="240" w:lineRule="auto"/>
            <w:jc w:val="both"/>
            <w:rPr>
              <w:rFonts w:ascii="Century Gothic" w:eastAsia="Arial" w:hAnsi="Century Gothic" w:cs="Arial"/>
              <w:sz w:val="24"/>
              <w:szCs w:val="24"/>
            </w:rPr>
          </w:pPr>
          <w:r w:rsidRPr="0016703E">
            <w:rPr>
              <w:rFonts w:ascii="Century Gothic" w:hAnsi="Century Gothic"/>
              <w:noProof/>
              <w:sz w:val="24"/>
              <w:szCs w:val="24"/>
            </w:rPr>
            <mc:AlternateContent>
              <mc:Choice Requires="wps">
                <w:drawing>
                  <wp:anchor distT="0" distB="0" distL="114300" distR="114300" simplePos="0" relativeHeight="251660288" behindDoc="0" locked="0" layoutInCell="1" hidden="0" allowOverlap="1" wp14:anchorId="4D87E613" wp14:editId="1CD2B883">
                    <wp:simplePos x="0" y="0"/>
                    <wp:positionH relativeFrom="column">
                      <wp:posOffset>2129789</wp:posOffset>
                    </wp:positionH>
                    <wp:positionV relativeFrom="paragraph">
                      <wp:posOffset>5080</wp:posOffset>
                    </wp:positionV>
                    <wp:extent cx="638175" cy="180975"/>
                    <wp:effectExtent l="38100" t="0" r="28575" b="66675"/>
                    <wp:wrapNone/>
                    <wp:docPr id="1709465732" name="Conector recto de flecha 1709465732"/>
                    <wp:cNvGraphicFramePr/>
                    <a:graphic xmlns:a="http://schemas.openxmlformats.org/drawingml/2006/main">
                      <a:graphicData uri="http://schemas.microsoft.com/office/word/2010/wordprocessingShape">
                        <wps:wsp>
                          <wps:cNvCnPr/>
                          <wps:spPr>
                            <a:xfrm flipH="1">
                              <a:off x="0" y="0"/>
                              <a:ext cx="638175" cy="180975"/>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2C0B7131" id="_x0000_t32" coordsize="21600,21600" o:spt="32" o:oned="t" path="m,l21600,21600e" filled="f">
                    <v:path arrowok="t" fillok="f" o:connecttype="none"/>
                    <o:lock v:ext="edit" shapetype="t"/>
                  </v:shapetype>
                  <v:shape id="Conector recto de flecha 1709465732" o:spid="_x0000_s1026" type="#_x0000_t32" style="position:absolute;margin-left:167.7pt;margin-top:.4pt;width:50.25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" strokecolor="#4a7dba">
                    <v:stroke startarrowwidth="narrow" startarrowlength="short" endarrow="classic"/>
                  </v:shape>
                </w:pict>
              </mc:Fallback>
            </mc:AlternateContent>
          </w:r>
          <w:r w:rsidRPr="0016703E">
            <w:rPr>
              <w:rFonts w:ascii="Century Gothic" w:hAnsi="Century Gothic"/>
              <w:noProof/>
              <w:sz w:val="24"/>
              <w:szCs w:val="24"/>
            </w:rPr>
            <mc:AlternateContent>
              <mc:Choice Requires="wps">
                <w:drawing>
                  <wp:anchor distT="0" distB="0" distL="114300" distR="114300" simplePos="0" relativeHeight="251661312" behindDoc="0" locked="0" layoutInCell="1" hidden="0" allowOverlap="1" wp14:anchorId="6B589695" wp14:editId="2A34FAC1">
                    <wp:simplePos x="0" y="0"/>
                    <wp:positionH relativeFrom="column">
                      <wp:posOffset>2720340</wp:posOffset>
                    </wp:positionH>
                    <wp:positionV relativeFrom="paragraph">
                      <wp:posOffset>5080</wp:posOffset>
                    </wp:positionV>
                    <wp:extent cx="685800" cy="190500"/>
                    <wp:effectExtent l="0" t="0" r="76200" b="76200"/>
                    <wp:wrapNone/>
                    <wp:docPr id="1709465726" name="Conector recto de flecha 1709465726"/>
                    <wp:cNvGraphicFramePr/>
                    <a:graphic xmlns:a="http://schemas.openxmlformats.org/drawingml/2006/main">
                      <a:graphicData uri="http://schemas.microsoft.com/office/word/2010/wordprocessingShape">
                        <wps:wsp>
                          <wps:cNvCnPr/>
                          <wps:spPr>
                            <a:xfrm>
                              <a:off x="0" y="0"/>
                              <a:ext cx="685800" cy="190500"/>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1F63AFB1" id="Conector recto de flecha 1709465726" o:spid="_x0000_s1026" type="#_x0000_t32" style="position:absolute;margin-left:214.2pt;margin-top:.4pt;width:54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" strokecolor="#4a7dba">
                    <v:stroke startarrowwidth="narrow" startarrowlength="short" endarrow="classic"/>
                  </v:shape>
                </w:pict>
              </mc:Fallback>
            </mc:AlternateContent>
          </w:r>
        </w:p>
        <w:p w14:paraId="58FA3B25" w14:textId="77E9C103"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63360" behindDoc="0" locked="0" layoutInCell="1" hidden="0" allowOverlap="1" wp14:anchorId="5664A2AA" wp14:editId="425F7EE9">
                    <wp:simplePos x="0" y="0"/>
                    <wp:positionH relativeFrom="margin">
                      <wp:posOffset>3383280</wp:posOffset>
                    </wp:positionH>
                    <wp:positionV relativeFrom="paragraph">
                      <wp:posOffset>8890</wp:posOffset>
                    </wp:positionV>
                    <wp:extent cx="1828800" cy="266700"/>
                    <wp:effectExtent l="0" t="0" r="19050" b="19050"/>
                    <wp:wrapNone/>
                    <wp:docPr id="1709465716" name="Rectángulo 1709465716"/>
                    <wp:cNvGraphicFramePr/>
                    <a:graphic xmlns:a="http://schemas.openxmlformats.org/drawingml/2006/main">
                      <a:graphicData uri="http://schemas.microsoft.com/office/word/2010/wordprocessingShape">
                        <wps:wsp>
                          <wps:cNvSpPr/>
                          <wps:spPr>
                            <a:xfrm>
                              <a:off x="0" y="0"/>
                              <a:ext cx="18288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A7667B" w14:textId="77777777" w:rsidR="00F2150C" w:rsidRDefault="00D84AD5" w:rsidP="00497A99">
                                <w:pPr>
                                  <w:spacing w:line="275" w:lineRule="auto"/>
                                  <w:jc w:val="center"/>
                                  <w:textDirection w:val="btLr"/>
                                </w:pPr>
                                <w:r>
                                  <w:rPr>
                                    <w:color w:val="000000"/>
                                  </w:rPr>
                                  <w:t>Paciente con estreñimiento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4A2AA" id="Rectángulo 1709465716" o:spid="_x0000_s1027" style="position:absolute;margin-left:266.4pt;margin-top:.7pt;width:2in;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">
                    <v:stroke startarrowwidth="narrow" startarrowlength="short" endarrowwidth="narrow" endarrowlength="short"/>
                    <v:textbox inset="2.53958mm,1.2694mm,2.53958mm,1.2694mm">
                      <w:txbxContent>
                        <w:p w14:paraId="39A7667B" w14:textId="77777777" w:rsidR="00F2150C" w:rsidRDefault="00D84AD5" w:rsidP="00497A99">
                          <w:pPr>
                            <w:spacing w:line="275" w:lineRule="auto"/>
                            <w:jc w:val="center"/>
                            <w:textDirection w:val="btLr"/>
                          </w:pPr>
                          <w:r>
                            <w:rPr>
                              <w:color w:val="000000"/>
                            </w:rPr>
                            <w:t>Paciente con estreñimiento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62336" behindDoc="0" locked="0" layoutInCell="1" hidden="0" allowOverlap="1" wp14:anchorId="14C19411" wp14:editId="6D0A2CB6">
                    <wp:simplePos x="0" y="0"/>
                    <wp:positionH relativeFrom="margin">
                      <wp:posOffset>24130</wp:posOffset>
                    </wp:positionH>
                    <wp:positionV relativeFrom="paragraph">
                      <wp:posOffset>8890</wp:posOffset>
                    </wp:positionV>
                    <wp:extent cx="2543175" cy="266700"/>
                    <wp:effectExtent l="0" t="0" r="28575" b="19050"/>
                    <wp:wrapNone/>
                    <wp:docPr id="1709465731" name="Rectángulo 1709465731"/>
                    <wp:cNvGraphicFramePr/>
                    <a:graphic xmlns:a="http://schemas.openxmlformats.org/drawingml/2006/main">
                      <a:graphicData uri="http://schemas.microsoft.com/office/word/2010/wordprocessingShape">
                        <wps:wsp>
                          <wps:cNvSpPr/>
                          <wps:spPr>
                            <a:xfrm>
                              <a:off x="0" y="0"/>
                              <a:ext cx="254317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2BB4B9" w14:textId="77777777" w:rsidR="00F2150C" w:rsidRDefault="00497A99" w:rsidP="00497A99">
                                <w:pPr>
                                  <w:spacing w:line="275" w:lineRule="auto"/>
                                  <w:jc w:val="center"/>
                                  <w:textDirection w:val="btLr"/>
                                </w:pPr>
                                <w:r>
                                  <w:rPr>
                                    <w:color w:val="000000"/>
                                  </w:rPr>
                                  <w:t>Paciente tiene deposiciones diarreicas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C19411" id="Rectángulo 1709465731" o:spid="_x0000_s1028" style="position:absolute;margin-left:1.9pt;margin-top:.7pt;width:200.2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">
                    <v:stroke startarrowwidth="narrow" startarrowlength="short" endarrowwidth="narrow" endarrowlength="short"/>
                    <v:textbox inset="2.53958mm,1.2694mm,2.53958mm,1.2694mm">
                      <w:txbxContent>
                        <w:p w14:paraId="3A2BB4B9" w14:textId="77777777" w:rsidR="00F2150C" w:rsidRDefault="00497A99" w:rsidP="00497A99">
                          <w:pPr>
                            <w:spacing w:line="275" w:lineRule="auto"/>
                            <w:jc w:val="center"/>
                            <w:textDirection w:val="btLr"/>
                          </w:pPr>
                          <w:r>
                            <w:rPr>
                              <w:color w:val="000000"/>
                            </w:rPr>
                            <w:t>Paciente tiene deposiciones diarreicas</w:t>
                          </w:r>
                        </w:p>
                      </w:txbxContent>
                    </v:textbox>
                    <w10:wrap anchorx="margin"/>
                  </v:rect>
                </w:pict>
              </mc:Fallback>
            </mc:AlternateContent>
          </w:r>
        </w:p>
        <w:p w14:paraId="12BBD2B6" w14:textId="01E2191A"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2032" behindDoc="0" locked="0" layoutInCell="1" allowOverlap="1" wp14:anchorId="595A42D0" wp14:editId="36D05BF7">
                    <wp:simplePos x="0" y="0"/>
                    <wp:positionH relativeFrom="column">
                      <wp:posOffset>4267200</wp:posOffset>
                    </wp:positionH>
                    <wp:positionV relativeFrom="paragraph">
                      <wp:posOffset>68580</wp:posOffset>
                    </wp:positionV>
                    <wp:extent cx="9525" cy="238125"/>
                    <wp:effectExtent l="38100" t="0" r="66675" b="47625"/>
                    <wp:wrapNone/>
                    <wp:docPr id="1026566166"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74538" id="Conector recto de flecha 1" o:spid="_x0000_s1026" type="#_x0000_t32" style="position:absolute;margin-left:336pt;margin-top:5.4pt;width:.75pt;height:18.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" strokecolor="#4579b8 [3044]">
                    <v:stroke endarrow="block"/>
                  </v:shape>
                </w:pict>
              </mc:Fallback>
            </mc:AlternateContent>
          </w:r>
          <w:r>
            <w:rPr>
              <w:rFonts w:ascii="Century Gothic" w:eastAsia="Arial" w:hAnsi="Century Gothic" w:cs="Arial"/>
              <w:b/>
              <w:noProof/>
              <w:sz w:val="24"/>
              <w:szCs w:val="24"/>
            </w:rPr>
            <mc:AlternateContent>
              <mc:Choice Requires="wps">
                <w:drawing>
                  <wp:anchor distT="0" distB="0" distL="114300" distR="114300" simplePos="0" relativeHeight="251689984" behindDoc="0" locked="0" layoutInCell="1" allowOverlap="1" wp14:anchorId="653BE427" wp14:editId="70423776">
                    <wp:simplePos x="0" y="0"/>
                    <wp:positionH relativeFrom="column">
                      <wp:posOffset>1148715</wp:posOffset>
                    </wp:positionH>
                    <wp:positionV relativeFrom="paragraph">
                      <wp:posOffset>98425</wp:posOffset>
                    </wp:positionV>
                    <wp:extent cx="9525" cy="238125"/>
                    <wp:effectExtent l="38100" t="0" r="66675" b="47625"/>
                    <wp:wrapNone/>
                    <wp:docPr id="1091897935"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5A173" id="Conector recto de flecha 1" o:spid="_x0000_s1026" type="#_x0000_t32" style="position:absolute;margin-left:90.45pt;margin-top:7.75pt;width:.75pt;height:18.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" strokecolor="#4579b8 [3044]">
                    <v:stroke endarrow="block"/>
                  </v:shape>
                </w:pict>
              </mc:Fallback>
            </mc:AlternateContent>
          </w:r>
        </w:p>
        <w:p w14:paraId="4A8F428B" w14:textId="1E492CA8"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66432" behindDoc="0" locked="0" layoutInCell="1" hidden="0" allowOverlap="1" wp14:anchorId="089B11B3" wp14:editId="49E0FC9D">
                    <wp:simplePos x="0" y="0"/>
                    <wp:positionH relativeFrom="margin">
                      <wp:posOffset>-260985</wp:posOffset>
                    </wp:positionH>
                    <wp:positionV relativeFrom="paragraph">
                      <wp:posOffset>159385</wp:posOffset>
                    </wp:positionV>
                    <wp:extent cx="2857500" cy="647700"/>
                    <wp:effectExtent l="0" t="0" r="19050" b="19050"/>
                    <wp:wrapNone/>
                    <wp:docPr id="1709465721" name="Rectángulo 1709465721"/>
                    <wp:cNvGraphicFramePr/>
                    <a:graphic xmlns:a="http://schemas.openxmlformats.org/drawingml/2006/main">
                      <a:graphicData uri="http://schemas.microsoft.com/office/word/2010/wordprocessingShape">
                        <wps:wsp>
                          <wps:cNvSpPr/>
                          <wps:spPr>
                            <a:xfrm>
                              <a:off x="0" y="0"/>
                              <a:ext cx="28575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2D85C"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9B11B3" id="Rectángulo 1709465721" o:spid="_x0000_s1029" style="position:absolute;margin-left:-20.55pt;margin-top:12.55pt;width:225pt;height: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">
                    <v:stroke startarrowwidth="narrow" startarrowlength="short" endarrowwidth="narrow" endarrowlength="short"/>
                    <v:textbox inset="2.53958mm,1.2694mm,2.53958mm,1.2694mm">
                      <w:txbxContent>
                        <w:p w14:paraId="0132D85C"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67456" behindDoc="0" locked="0" layoutInCell="1" hidden="0" allowOverlap="1" wp14:anchorId="728BD5F9" wp14:editId="331536E1">
                    <wp:simplePos x="0" y="0"/>
                    <wp:positionH relativeFrom="column">
                      <wp:posOffset>2977515</wp:posOffset>
                    </wp:positionH>
                    <wp:positionV relativeFrom="paragraph">
                      <wp:posOffset>121285</wp:posOffset>
                    </wp:positionV>
                    <wp:extent cx="2667000" cy="638175"/>
                    <wp:effectExtent l="0" t="0" r="19050" b="28575"/>
                    <wp:wrapNone/>
                    <wp:docPr id="1709465714" name="Rectángulo 1709465714"/>
                    <wp:cNvGraphicFramePr/>
                    <a:graphic xmlns:a="http://schemas.openxmlformats.org/drawingml/2006/main">
                      <a:graphicData uri="http://schemas.microsoft.com/office/word/2010/wordprocessingShape">
                        <wps:wsp>
                          <wps:cNvSpPr/>
                          <wps:spPr>
                            <a:xfrm>
                              <a:off x="0" y="0"/>
                              <a:ext cx="2667000" cy="638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D6D9C0"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p w14:paraId="406C551F" w14:textId="77777777" w:rsidR="00F2150C" w:rsidRDefault="00F2150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8BD5F9" id="Rectángulo 1709465714" o:spid="_x0000_s1030" style="position:absolute;margin-left:234.45pt;margin-top:9.55pt;width:210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">
                    <v:stroke startarrowwidth="narrow" startarrowlength="short" endarrowwidth="narrow" endarrowlength="short"/>
                    <v:textbox inset="2.53958mm,1.2694mm,2.53958mm,1.2694mm">
                      <w:txbxContent>
                        <w:p w14:paraId="0FD6D9C0"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p w14:paraId="406C551F" w14:textId="77777777" w:rsidR="00F2150C" w:rsidRDefault="00F2150C">
                          <w:pPr>
                            <w:spacing w:line="275" w:lineRule="auto"/>
                            <w:textDirection w:val="btLr"/>
                          </w:pPr>
                        </w:p>
                      </w:txbxContent>
                    </v:textbox>
                  </v:rect>
                </w:pict>
              </mc:Fallback>
            </mc:AlternateContent>
          </w:r>
        </w:p>
        <w:p w14:paraId="74F8B1B3" w14:textId="3971AF80" w:rsidR="00F2150C" w:rsidRPr="0016703E" w:rsidRDefault="00F2150C" w:rsidP="0016703E">
          <w:pPr>
            <w:spacing w:after="0" w:line="240" w:lineRule="auto"/>
            <w:rPr>
              <w:rFonts w:ascii="Century Gothic" w:eastAsia="Arial" w:hAnsi="Century Gothic" w:cs="Arial"/>
              <w:b/>
              <w:sz w:val="24"/>
              <w:szCs w:val="24"/>
            </w:rPr>
          </w:pPr>
        </w:p>
        <w:p w14:paraId="03C60CC1" w14:textId="67AF5243" w:rsidR="00F2150C" w:rsidRPr="0016703E" w:rsidRDefault="00F2150C" w:rsidP="0016703E">
          <w:pPr>
            <w:spacing w:after="0" w:line="240" w:lineRule="auto"/>
            <w:rPr>
              <w:rFonts w:ascii="Century Gothic" w:eastAsia="Arial" w:hAnsi="Century Gothic" w:cs="Arial"/>
              <w:b/>
              <w:sz w:val="24"/>
              <w:szCs w:val="24"/>
            </w:rPr>
          </w:pPr>
        </w:p>
        <w:p w14:paraId="5FE3EACE" w14:textId="5D64F77D"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5104" behindDoc="0" locked="0" layoutInCell="1" allowOverlap="1" wp14:anchorId="05775ECA" wp14:editId="45E9C888">
                    <wp:simplePos x="0" y="0"/>
                    <wp:positionH relativeFrom="column">
                      <wp:posOffset>4339590</wp:posOffset>
                    </wp:positionH>
                    <wp:positionV relativeFrom="paragraph">
                      <wp:posOffset>189230</wp:posOffset>
                    </wp:positionV>
                    <wp:extent cx="9525" cy="238125"/>
                    <wp:effectExtent l="38100" t="0" r="66675" b="47625"/>
                    <wp:wrapNone/>
                    <wp:docPr id="485092369" name="Conector recto de flecha 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B37A9" id="Conector recto de flecha 2" o:spid="_x0000_s1026" type="#_x0000_t32" style="position:absolute;margin-left:341.7pt;margin-top:14.9pt;width:.75pt;height:18.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" strokecolor="#4579b8 [3044]">
                    <v:stroke endarrow="block"/>
                  </v:shape>
                </w:pict>
              </mc:Fallback>
            </mc:AlternateContent>
          </w:r>
        </w:p>
        <w:p w14:paraId="45B3BE7F" w14:textId="5A9CC1FB" w:rsidR="00F2150C" w:rsidRPr="0016703E" w:rsidRDefault="000505ED" w:rsidP="0016703E">
          <w:pPr>
            <w:spacing w:after="0" w:line="240" w:lineRule="auto"/>
            <w:rPr>
              <w:rFonts w:ascii="Century Gothic" w:eastAsia="Arial" w:hAnsi="Century Gothic" w:cs="Arial"/>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4080" behindDoc="0" locked="0" layoutInCell="1" allowOverlap="1" wp14:anchorId="224A25C2" wp14:editId="5B101FA8">
                    <wp:simplePos x="0" y="0"/>
                    <wp:positionH relativeFrom="column">
                      <wp:posOffset>1066800</wp:posOffset>
                    </wp:positionH>
                    <wp:positionV relativeFrom="paragraph">
                      <wp:posOffset>68580</wp:posOffset>
                    </wp:positionV>
                    <wp:extent cx="9525" cy="238125"/>
                    <wp:effectExtent l="38100" t="0" r="66675" b="47625"/>
                    <wp:wrapNone/>
                    <wp:docPr id="1012457852"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E0EA4" id="Conector recto de flecha 1" o:spid="_x0000_s1026" type="#_x0000_t32" style="position:absolute;margin-left:84pt;margin-top:5.4pt;width:.75pt;height:18.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" strokecolor="#4579b8 [3044]">
                    <v:stroke endarrow="block"/>
                  </v:shape>
                </w:pict>
              </mc:Fallback>
            </mc:AlternateContent>
          </w:r>
        </w:p>
        <w:p w14:paraId="1B9FE9ED" w14:textId="2DC9411A"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0528" behindDoc="0" locked="0" layoutInCell="1" hidden="0" allowOverlap="1" wp14:anchorId="4CA81918" wp14:editId="34BB862A">
                    <wp:simplePos x="0" y="0"/>
                    <wp:positionH relativeFrom="column">
                      <wp:posOffset>2777490</wp:posOffset>
                    </wp:positionH>
                    <wp:positionV relativeFrom="paragraph">
                      <wp:posOffset>72390</wp:posOffset>
                    </wp:positionV>
                    <wp:extent cx="3162300" cy="1152525"/>
                    <wp:effectExtent l="0" t="0" r="19050" b="28575"/>
                    <wp:wrapNone/>
                    <wp:docPr id="1709465729" name="Rectángulo 1709465729"/>
                    <wp:cNvGraphicFramePr/>
                    <a:graphic xmlns:a="http://schemas.openxmlformats.org/drawingml/2006/main">
                      <a:graphicData uri="http://schemas.microsoft.com/office/word/2010/wordprocessingShape">
                        <wps:wsp>
                          <wps:cNvSpPr/>
                          <wps:spPr>
                            <a:xfrm>
                              <a:off x="0" y="0"/>
                              <a:ext cx="3162300"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46E801" w14:textId="77777777" w:rsidR="00F2150C" w:rsidRPr="00497A99" w:rsidRDefault="00D84AD5" w:rsidP="00497A99">
                                <w:pPr>
                                  <w:spacing w:line="275" w:lineRule="auto"/>
                                  <w:jc w:val="center"/>
                                  <w:textDirection w:val="btLr"/>
                                </w:pPr>
                                <w:r w:rsidRPr="00497A99">
                                  <w:t xml:space="preserve">Inicie con laxantes formadores de masa o laxantes con efecto osmótico, si hay dolor </w:t>
                                </w:r>
                                <w:r w:rsidR="00497A99" w:rsidRPr="00497A99">
                                  <w:t>abdominal utilice</w:t>
                                </w:r>
                                <w:r w:rsidRPr="00497A99">
                                  <w:t xml:space="preserve"> un medicamento </w:t>
                                </w:r>
                                <w:r w:rsidR="00497A99" w:rsidRPr="00497A99">
                                  <w:t>anticolinérgico</w:t>
                                </w:r>
                                <w:r w:rsidRPr="00497A99">
                                  <w:t>.</w:t>
                                </w:r>
                              </w:p>
                              <w:p w14:paraId="753F0F97" w14:textId="77777777" w:rsidR="00F2150C" w:rsidRPr="00497A99" w:rsidRDefault="00D84AD5" w:rsidP="00497A99">
                                <w:pPr>
                                  <w:spacing w:line="275" w:lineRule="auto"/>
                                  <w:jc w:val="center"/>
                                  <w:textDirection w:val="btLr"/>
                                </w:pPr>
                                <w:r w:rsidRPr="00497A99">
                                  <w:t>La fibra soluble es apropiada para el tratamiento sintomático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A81918" id="Rectángulo 1709465729" o:spid="_x0000_s1031" style="position:absolute;margin-left:218.7pt;margin-top:5.7pt;width:249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">
                    <v:stroke startarrowwidth="narrow" startarrowlength="short" endarrowwidth="narrow" endarrowlength="short"/>
                    <v:textbox inset="2.53958mm,1.2694mm,2.53958mm,1.2694mm">
                      <w:txbxContent>
                        <w:p w14:paraId="0246E801" w14:textId="77777777" w:rsidR="00F2150C" w:rsidRPr="00497A99" w:rsidRDefault="00D84AD5" w:rsidP="00497A99">
                          <w:pPr>
                            <w:spacing w:line="275" w:lineRule="auto"/>
                            <w:jc w:val="center"/>
                            <w:textDirection w:val="btLr"/>
                          </w:pPr>
                          <w:r w:rsidRPr="00497A99">
                            <w:t xml:space="preserve">Inicie con laxantes formadores de masa o laxantes con efecto osmótico, si hay dolor </w:t>
                          </w:r>
                          <w:r w:rsidR="00497A99" w:rsidRPr="00497A99">
                            <w:t>abdominal utilice</w:t>
                          </w:r>
                          <w:r w:rsidRPr="00497A99">
                            <w:t xml:space="preserve"> un medicamento </w:t>
                          </w:r>
                          <w:r w:rsidR="00497A99" w:rsidRPr="00497A99">
                            <w:t>anticolinérgico</w:t>
                          </w:r>
                          <w:r w:rsidRPr="00497A99">
                            <w:t>.</w:t>
                          </w:r>
                        </w:p>
                        <w:p w14:paraId="753F0F97" w14:textId="77777777" w:rsidR="00F2150C" w:rsidRPr="00497A99" w:rsidRDefault="00D84AD5" w:rsidP="00497A99">
                          <w:pPr>
                            <w:spacing w:line="275" w:lineRule="auto"/>
                            <w:jc w:val="center"/>
                            <w:textDirection w:val="btLr"/>
                          </w:pPr>
                          <w:r w:rsidRPr="00497A99">
                            <w:t>La fibra soluble es apropiada para el tratamiento sintomático</w:t>
                          </w:r>
                        </w:p>
                      </w:txbxContent>
                    </v:textbox>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71552" behindDoc="0" locked="0" layoutInCell="1" hidden="0" allowOverlap="1" wp14:anchorId="510E1AEA" wp14:editId="04CAEFC8">
                    <wp:simplePos x="0" y="0"/>
                    <wp:positionH relativeFrom="column">
                      <wp:posOffset>-203835</wp:posOffset>
                    </wp:positionH>
                    <wp:positionV relativeFrom="paragraph">
                      <wp:posOffset>129540</wp:posOffset>
                    </wp:positionV>
                    <wp:extent cx="2402840" cy="952500"/>
                    <wp:effectExtent l="0" t="0" r="16510" b="19050"/>
                    <wp:wrapNone/>
                    <wp:docPr id="1709465715" name="Rectángulo 1709465715"/>
                    <wp:cNvGraphicFramePr/>
                    <a:graphic xmlns:a="http://schemas.openxmlformats.org/drawingml/2006/main">
                      <a:graphicData uri="http://schemas.microsoft.com/office/word/2010/wordprocessingShape">
                        <wps:wsp>
                          <wps:cNvSpPr/>
                          <wps:spPr>
                            <a:xfrm>
                              <a:off x="0" y="0"/>
                              <a:ext cx="2402840" cy="952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1385A" w14:textId="77777777" w:rsidR="00F2150C" w:rsidRPr="00497A99" w:rsidRDefault="00D84AD5" w:rsidP="00497A99">
                                <w:pPr>
                                  <w:spacing w:line="275" w:lineRule="auto"/>
                                  <w:jc w:val="center"/>
                                  <w:textDirection w:val="btLr"/>
                                </w:pPr>
                                <w:r w:rsidRPr="00497A99">
                                  <w:t>Cuando hay diarrea severa puede utilizarse loperamida.</w:t>
                                </w:r>
                              </w:p>
                              <w:p w14:paraId="0B6B7BA9" w14:textId="77777777" w:rsidR="00F2150C" w:rsidRPr="00497A99" w:rsidRDefault="00D84AD5" w:rsidP="00497A99">
                                <w:pPr>
                                  <w:spacing w:line="275" w:lineRule="auto"/>
                                  <w:jc w:val="center"/>
                                  <w:textDirection w:val="btLr"/>
                                </w:pPr>
                                <w:r w:rsidRPr="00497A99">
                                  <w:t xml:space="preserve">Si hay dolor </w:t>
                                </w:r>
                                <w:r w:rsidR="00497A99" w:rsidRPr="00497A99">
                                  <w:t>abdominal utilice</w:t>
                                </w:r>
                                <w:r w:rsidRPr="00497A99">
                                  <w:t xml:space="preserve"> un medicamento </w:t>
                                </w:r>
                                <w:r w:rsidR="00497A99" w:rsidRPr="00497A99">
                                  <w:t>anticolinérgico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10E1AEA" id="Rectángulo 1709465715" o:spid="_x0000_s1032" style="position:absolute;margin-left:-16.05pt;margin-top:10.2pt;width:189.2pt;height: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">
                    <v:stroke startarrowwidth="narrow" startarrowlength="short" endarrowwidth="narrow" endarrowlength="short"/>
                    <v:textbox inset="2.53958mm,1.2694mm,2.53958mm,1.2694mm">
                      <w:txbxContent>
                        <w:p w14:paraId="0ED1385A" w14:textId="77777777" w:rsidR="00F2150C" w:rsidRPr="00497A99" w:rsidRDefault="00D84AD5" w:rsidP="00497A99">
                          <w:pPr>
                            <w:spacing w:line="275" w:lineRule="auto"/>
                            <w:jc w:val="center"/>
                            <w:textDirection w:val="btLr"/>
                          </w:pPr>
                          <w:r w:rsidRPr="00497A99">
                            <w:t>Cuando hay diarrea severa puede utilizarse loperamida.</w:t>
                          </w:r>
                        </w:p>
                        <w:p w14:paraId="0B6B7BA9" w14:textId="77777777" w:rsidR="00F2150C" w:rsidRPr="00497A99" w:rsidRDefault="00D84AD5" w:rsidP="00497A99">
                          <w:pPr>
                            <w:spacing w:line="275" w:lineRule="auto"/>
                            <w:jc w:val="center"/>
                            <w:textDirection w:val="btLr"/>
                          </w:pPr>
                          <w:r w:rsidRPr="00497A99">
                            <w:t xml:space="preserve">Si hay dolor </w:t>
                          </w:r>
                          <w:r w:rsidR="00497A99" w:rsidRPr="00497A99">
                            <w:t>abdominal utilice</w:t>
                          </w:r>
                          <w:r w:rsidRPr="00497A99">
                            <w:t xml:space="preserve"> un medicamento </w:t>
                          </w:r>
                          <w:r w:rsidR="00497A99" w:rsidRPr="00497A99">
                            <w:t>anticolinérgico</w:t>
                          </w:r>
                        </w:p>
                      </w:txbxContent>
                    </v:textbox>
                  </v:rect>
                </w:pict>
              </mc:Fallback>
            </mc:AlternateContent>
          </w:r>
        </w:p>
        <w:p w14:paraId="60DDF021" w14:textId="6F6EB9C8" w:rsidR="00F2150C" w:rsidRPr="0016703E" w:rsidRDefault="00F2150C" w:rsidP="0016703E">
          <w:pPr>
            <w:spacing w:after="0" w:line="240" w:lineRule="auto"/>
            <w:rPr>
              <w:rFonts w:ascii="Century Gothic" w:eastAsia="Arial" w:hAnsi="Century Gothic" w:cs="Arial"/>
              <w:b/>
              <w:sz w:val="24"/>
              <w:szCs w:val="24"/>
            </w:rPr>
          </w:pPr>
        </w:p>
        <w:p w14:paraId="3D520352" w14:textId="21F42201" w:rsidR="00F2150C" w:rsidRPr="0016703E" w:rsidRDefault="00F2150C" w:rsidP="0016703E">
          <w:pPr>
            <w:spacing w:after="0" w:line="240" w:lineRule="auto"/>
            <w:rPr>
              <w:rFonts w:ascii="Century Gothic" w:eastAsia="Arial" w:hAnsi="Century Gothic" w:cs="Arial"/>
              <w:b/>
              <w:sz w:val="24"/>
              <w:szCs w:val="24"/>
            </w:rPr>
          </w:pPr>
        </w:p>
        <w:p w14:paraId="0E5638C2" w14:textId="77777777" w:rsidR="00F2150C" w:rsidRPr="0016703E" w:rsidRDefault="00F2150C" w:rsidP="0016703E">
          <w:pPr>
            <w:spacing w:after="0" w:line="240" w:lineRule="auto"/>
            <w:rPr>
              <w:rFonts w:ascii="Century Gothic" w:eastAsia="Arial" w:hAnsi="Century Gothic" w:cs="Arial"/>
              <w:b/>
              <w:sz w:val="24"/>
              <w:szCs w:val="24"/>
            </w:rPr>
          </w:pPr>
        </w:p>
        <w:p w14:paraId="1CCC2765" w14:textId="77777777" w:rsidR="00F2150C" w:rsidRPr="0016703E" w:rsidRDefault="00F2150C" w:rsidP="0016703E">
          <w:pPr>
            <w:spacing w:after="0" w:line="240" w:lineRule="auto"/>
            <w:rPr>
              <w:rFonts w:ascii="Century Gothic" w:eastAsia="Arial" w:hAnsi="Century Gothic" w:cs="Arial"/>
              <w:b/>
              <w:sz w:val="24"/>
              <w:szCs w:val="24"/>
            </w:rPr>
          </w:pPr>
        </w:p>
        <w:p w14:paraId="5F101B04" w14:textId="464D858D"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84864" behindDoc="0" locked="0" layoutInCell="1" hidden="0" allowOverlap="1" wp14:anchorId="174E8A2F" wp14:editId="5186AB43">
                    <wp:simplePos x="0" y="0"/>
                    <wp:positionH relativeFrom="column">
                      <wp:posOffset>4249103</wp:posOffset>
                    </wp:positionH>
                    <wp:positionV relativeFrom="paragraph">
                      <wp:posOffset>159704</wp:posOffset>
                    </wp:positionV>
                    <wp:extent cx="311783" cy="535940"/>
                    <wp:effectExtent l="40005" t="0" r="14605" b="52705"/>
                    <wp:wrapNone/>
                    <wp:docPr id="2032468982" name="Conector recto de flecha 2032468982"/>
                    <wp:cNvGraphicFramePr/>
                    <a:graphic xmlns:a="http://schemas.openxmlformats.org/drawingml/2006/main">
                      <a:graphicData uri="http://schemas.microsoft.com/office/word/2010/wordprocessingShape">
                        <wps:wsp>
                          <wps:cNvCnPr/>
                          <wps:spPr>
                            <a:xfrm rot="16200000" flipH="1" flipV="1">
                              <a:off x="0" y="0"/>
                              <a:ext cx="311783" cy="535940"/>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477C036" id="Conector recto de flecha 2032468982" o:spid="_x0000_s1026" type="#_x0000_t32" style="position:absolute;margin-left:334.6pt;margin-top:12.6pt;width:24.55pt;height:42.2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" strokecolor="#4a7dba">
                    <v:stroke startarrowwidth="narrow" startarrowlength="short" endarrow="classic"/>
                  </v:shape>
                </w:pict>
              </mc:Fallback>
            </mc:AlternateContent>
          </w:r>
        </w:p>
        <w:p w14:paraId="07E953AE" w14:textId="392DE580"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4624" behindDoc="0" locked="0" layoutInCell="1" hidden="0" allowOverlap="1" wp14:anchorId="1E3C50D4" wp14:editId="187F15CD">
                    <wp:simplePos x="0" y="0"/>
                    <wp:positionH relativeFrom="margin">
                      <wp:posOffset>1701165</wp:posOffset>
                    </wp:positionH>
                    <wp:positionV relativeFrom="paragraph">
                      <wp:posOffset>189865</wp:posOffset>
                    </wp:positionV>
                    <wp:extent cx="2400300" cy="447675"/>
                    <wp:effectExtent l="0" t="0" r="19050" b="28575"/>
                    <wp:wrapNone/>
                    <wp:docPr id="1709465713" name="Rectángulo 1709465713"/>
                    <wp:cNvGraphicFramePr/>
                    <a:graphic xmlns:a="http://schemas.openxmlformats.org/drawingml/2006/main">
                      <a:graphicData uri="http://schemas.microsoft.com/office/word/2010/wordprocessingShape">
                        <wps:wsp>
                          <wps:cNvSpPr/>
                          <wps:spPr>
                            <a:xfrm>
                              <a:off x="0" y="0"/>
                              <a:ext cx="2400300" cy="447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AFDFAE" w14:textId="77777777" w:rsidR="00F2150C" w:rsidRDefault="00D84AD5" w:rsidP="00FC4FA9">
                                <w:pPr>
                                  <w:spacing w:line="275" w:lineRule="auto"/>
                                  <w:jc w:val="center"/>
                                  <w:textDirection w:val="btLr"/>
                                </w:pPr>
                                <w:r>
                                  <w:rPr>
                                    <w:color w:val="000000"/>
                                  </w:rPr>
                                  <w:t>Considere la necesidad de iniciar un antidepresivo tricíclico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3C50D4" id="Rectángulo 1709465713" o:spid="_x0000_s1033" style="position:absolute;margin-left:133.95pt;margin-top:14.95pt;width:189pt;height:35.2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">
                    <v:stroke startarrowwidth="narrow" startarrowlength="short" endarrowwidth="narrow" endarrowlength="short"/>
                    <v:textbox inset="2.53958mm,1.2694mm,2.53958mm,1.2694mm">
                      <w:txbxContent>
                        <w:p w14:paraId="35AFDFAE" w14:textId="77777777" w:rsidR="00F2150C" w:rsidRDefault="00D84AD5" w:rsidP="00FC4FA9">
                          <w:pPr>
                            <w:spacing w:line="275" w:lineRule="auto"/>
                            <w:jc w:val="center"/>
                            <w:textDirection w:val="btLr"/>
                          </w:pPr>
                          <w:r>
                            <w:rPr>
                              <w:color w:val="000000"/>
                            </w:rPr>
                            <w:t>Considere la necesidad de iniciar un antidepresivo tricíclico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72576" behindDoc="0" locked="0" layoutInCell="1" hidden="0" allowOverlap="1" wp14:anchorId="0E981FD9" wp14:editId="22443BD1">
                    <wp:simplePos x="0" y="0"/>
                    <wp:positionH relativeFrom="column">
                      <wp:posOffset>901065</wp:posOffset>
                    </wp:positionH>
                    <wp:positionV relativeFrom="paragraph">
                      <wp:posOffset>8890</wp:posOffset>
                    </wp:positionV>
                    <wp:extent cx="790575" cy="371475"/>
                    <wp:effectExtent l="0" t="0" r="47625" b="66675"/>
                    <wp:wrapNone/>
                    <wp:docPr id="1709465724" name="Conector recto de flecha 1709465724"/>
                    <wp:cNvGraphicFramePr/>
                    <a:graphic xmlns:a="http://schemas.openxmlformats.org/drawingml/2006/main">
                      <a:graphicData uri="http://schemas.microsoft.com/office/word/2010/wordprocessingShape">
                        <wps:wsp>
                          <wps:cNvCnPr/>
                          <wps:spPr>
                            <a:xfrm>
                              <a:off x="0" y="0"/>
                              <a:ext cx="790575" cy="371475"/>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A6800D2" id="Conector recto de flecha 1709465724" o:spid="_x0000_s1026" type="#_x0000_t32" style="position:absolute;margin-left:70.95pt;margin-top:.7pt;width:62.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" strokecolor="#4a7dba">
                    <v:stroke startarrowwidth="narrow" startarrowlength="short" endarrow="classic"/>
                  </v:shape>
                </w:pict>
              </mc:Fallback>
            </mc:AlternateContent>
          </w:r>
        </w:p>
        <w:p w14:paraId="1D3BEAEB" w14:textId="25F69816" w:rsidR="00F2150C" w:rsidRPr="0016703E" w:rsidRDefault="00F2150C" w:rsidP="0016703E">
          <w:pPr>
            <w:spacing w:after="0" w:line="240" w:lineRule="auto"/>
            <w:rPr>
              <w:rFonts w:ascii="Century Gothic" w:eastAsia="Arial" w:hAnsi="Century Gothic" w:cs="Arial"/>
              <w:b/>
              <w:sz w:val="24"/>
              <w:szCs w:val="24"/>
            </w:rPr>
          </w:pPr>
        </w:p>
        <w:p w14:paraId="1EAFEF66" w14:textId="665A29FF" w:rsidR="00F2150C" w:rsidRPr="0016703E" w:rsidRDefault="00F2150C" w:rsidP="0016703E">
          <w:pPr>
            <w:spacing w:after="0" w:line="240" w:lineRule="auto"/>
            <w:rPr>
              <w:rFonts w:ascii="Century Gothic" w:eastAsia="Arial" w:hAnsi="Century Gothic" w:cs="Arial"/>
              <w:b/>
              <w:sz w:val="24"/>
              <w:szCs w:val="24"/>
            </w:rPr>
          </w:pPr>
        </w:p>
        <w:p w14:paraId="5E7FCE1B" w14:textId="01F3B3B8"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6128" behindDoc="0" locked="0" layoutInCell="1" allowOverlap="1" wp14:anchorId="62C5274A" wp14:editId="722770C5">
                    <wp:simplePos x="0" y="0"/>
                    <wp:positionH relativeFrom="column">
                      <wp:posOffset>2806065</wp:posOffset>
                    </wp:positionH>
                    <wp:positionV relativeFrom="paragraph">
                      <wp:posOffset>86360</wp:posOffset>
                    </wp:positionV>
                    <wp:extent cx="0" cy="200025"/>
                    <wp:effectExtent l="76200" t="0" r="57150" b="47625"/>
                    <wp:wrapNone/>
                    <wp:docPr id="1717567772" name="Conector recto de flecha 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BCF79" id="Conector recto de flecha 3" o:spid="_x0000_s1026" type="#_x0000_t32" style="position:absolute;margin-left:220.95pt;margin-top:6.8pt;width:0;height:1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" strokecolor="#4579b8 [3044]">
                    <v:stroke endarrow="block"/>
                  </v:shape>
                </w:pict>
              </mc:Fallback>
            </mc:AlternateContent>
          </w:r>
        </w:p>
        <w:p w14:paraId="6812C888" w14:textId="63FCD4DB"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6672" behindDoc="0" locked="0" layoutInCell="1" hidden="0" allowOverlap="1" wp14:anchorId="0E98920C" wp14:editId="757ED083">
                    <wp:simplePos x="0" y="0"/>
                    <wp:positionH relativeFrom="margin">
                      <wp:align>center</wp:align>
                    </wp:positionH>
                    <wp:positionV relativeFrom="paragraph">
                      <wp:posOffset>124460</wp:posOffset>
                    </wp:positionV>
                    <wp:extent cx="2127250" cy="1028700"/>
                    <wp:effectExtent l="0" t="0" r="25400" b="19050"/>
                    <wp:wrapNone/>
                    <wp:docPr id="1709465730" name="Rectángulo 1709465730"/>
                    <wp:cNvGraphicFramePr/>
                    <a:graphic xmlns:a="http://schemas.openxmlformats.org/drawingml/2006/main">
                      <a:graphicData uri="http://schemas.microsoft.com/office/word/2010/wordprocessingShape">
                        <wps:wsp>
                          <wps:cNvSpPr/>
                          <wps:spPr>
                            <a:xfrm>
                              <a:off x="0" y="0"/>
                              <a:ext cx="212725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7BB000" w14:textId="77777777" w:rsidR="00F2150C" w:rsidRDefault="00D84AD5" w:rsidP="00FC4FA9">
                                <w:pPr>
                                  <w:spacing w:line="275" w:lineRule="auto"/>
                                  <w:jc w:val="center"/>
                                  <w:textDirection w:val="btLr"/>
                                </w:pPr>
                                <w:r>
                                  <w:rPr>
                                    <w:color w:val="000000"/>
                                  </w:rPr>
                                  <w:t>En ambos casos realice tratamiento no farmacológico: Actividad física, medidas dietéticas, psicoterapia en caso necesario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98920C" id="Rectángulo 1709465730" o:spid="_x0000_s1034" style="position:absolute;margin-left:0;margin-top:9.8pt;width:167.5pt;height:8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">
                    <v:stroke startarrowwidth="narrow" startarrowlength="short" endarrowwidth="narrow" endarrowlength="short"/>
                    <v:textbox inset="2.53958mm,1.2694mm,2.53958mm,1.2694mm">
                      <w:txbxContent>
                        <w:p w14:paraId="1F7BB000" w14:textId="77777777" w:rsidR="00F2150C" w:rsidRDefault="00D84AD5" w:rsidP="00FC4FA9">
                          <w:pPr>
                            <w:spacing w:line="275" w:lineRule="auto"/>
                            <w:jc w:val="center"/>
                            <w:textDirection w:val="btLr"/>
                          </w:pPr>
                          <w:r>
                            <w:rPr>
                              <w:color w:val="000000"/>
                            </w:rPr>
                            <w:t>En ambos casos realice tratamiento no farmacológico: Actividad física, medidas dietéticas, psicoterapia en caso necesario</w:t>
                          </w:r>
                        </w:p>
                      </w:txbxContent>
                    </v:textbox>
                    <w10:wrap anchorx="margin"/>
                  </v:rect>
                </w:pict>
              </mc:Fallback>
            </mc:AlternateContent>
          </w:r>
        </w:p>
        <w:p w14:paraId="33A40ABC" w14:textId="6425EEEA" w:rsidR="00F2150C" w:rsidRPr="0016703E" w:rsidRDefault="00F2150C" w:rsidP="0016703E">
          <w:pPr>
            <w:spacing w:after="0" w:line="240" w:lineRule="auto"/>
            <w:rPr>
              <w:rFonts w:ascii="Century Gothic" w:eastAsia="Arial" w:hAnsi="Century Gothic" w:cs="Arial"/>
              <w:b/>
              <w:sz w:val="24"/>
              <w:szCs w:val="24"/>
            </w:rPr>
          </w:pPr>
        </w:p>
        <w:p w14:paraId="373C9568" w14:textId="6FFD5042" w:rsidR="00F2150C" w:rsidRPr="0016703E" w:rsidRDefault="00F2150C" w:rsidP="0016703E">
          <w:pPr>
            <w:spacing w:after="0" w:line="240" w:lineRule="auto"/>
            <w:rPr>
              <w:rFonts w:ascii="Century Gothic" w:eastAsia="Arial" w:hAnsi="Century Gothic" w:cs="Arial"/>
              <w:b/>
              <w:sz w:val="24"/>
              <w:szCs w:val="24"/>
            </w:rPr>
          </w:pPr>
        </w:p>
        <w:p w14:paraId="2A3C78B8" w14:textId="77777777" w:rsidR="00F2150C" w:rsidRPr="0016703E" w:rsidRDefault="00F2150C" w:rsidP="0016703E">
          <w:pPr>
            <w:spacing w:after="0" w:line="240" w:lineRule="auto"/>
            <w:rPr>
              <w:rFonts w:ascii="Century Gothic" w:eastAsia="Arial" w:hAnsi="Century Gothic" w:cs="Arial"/>
              <w:b/>
              <w:sz w:val="24"/>
              <w:szCs w:val="24"/>
            </w:rPr>
          </w:pPr>
        </w:p>
        <w:p w14:paraId="6CEFFEB0" w14:textId="77777777" w:rsidR="00FC4FA9" w:rsidRPr="0016703E" w:rsidRDefault="00FC4FA9" w:rsidP="0016703E">
          <w:pPr>
            <w:spacing w:after="0" w:line="240" w:lineRule="auto"/>
            <w:rPr>
              <w:rFonts w:ascii="Century Gothic" w:eastAsia="Arial" w:hAnsi="Century Gothic" w:cs="Arial"/>
              <w:b/>
              <w:sz w:val="24"/>
              <w:szCs w:val="24"/>
            </w:rPr>
          </w:pPr>
        </w:p>
        <w:p w14:paraId="4E0A8997" w14:textId="16158FE2" w:rsidR="00F2150C" w:rsidRPr="0016703E" w:rsidRDefault="00F2150C" w:rsidP="0016703E">
          <w:pPr>
            <w:spacing w:after="0" w:line="240" w:lineRule="auto"/>
            <w:rPr>
              <w:rFonts w:ascii="Century Gothic" w:eastAsia="Arial" w:hAnsi="Century Gothic" w:cs="Arial"/>
              <w:b/>
              <w:sz w:val="24"/>
              <w:szCs w:val="24"/>
            </w:rPr>
          </w:pPr>
        </w:p>
        <w:p w14:paraId="054D562D" w14:textId="6E5164C1" w:rsidR="00FC4FA9"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7152" behindDoc="0" locked="0" layoutInCell="1" allowOverlap="1" wp14:anchorId="439344F6" wp14:editId="734CE0E8">
                    <wp:simplePos x="0" y="0"/>
                    <wp:positionH relativeFrom="column">
                      <wp:posOffset>2748915</wp:posOffset>
                    </wp:positionH>
                    <wp:positionV relativeFrom="paragraph">
                      <wp:posOffset>45085</wp:posOffset>
                    </wp:positionV>
                    <wp:extent cx="0" cy="190500"/>
                    <wp:effectExtent l="76200" t="0" r="57150" b="57150"/>
                    <wp:wrapNone/>
                    <wp:docPr id="1293923259" name="Conector recto de flecha 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5EF40" id="Conector recto de flecha 4" o:spid="_x0000_s1026" type="#_x0000_t32" style="position:absolute;margin-left:216.45pt;margin-top:3.55pt;width:0;height: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" strokecolor="#4579b8 [3044]">
                    <v:stroke endarrow="block"/>
                  </v:shape>
                </w:pict>
              </mc:Fallback>
            </mc:AlternateContent>
          </w:r>
        </w:p>
        <w:p w14:paraId="02EFBA8B" w14:textId="1199C434"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8720" behindDoc="0" locked="0" layoutInCell="1" hidden="0" allowOverlap="1" wp14:anchorId="6F3F1988" wp14:editId="71C09119">
                    <wp:simplePos x="0" y="0"/>
                    <wp:positionH relativeFrom="margin">
                      <wp:posOffset>605790</wp:posOffset>
                    </wp:positionH>
                    <wp:positionV relativeFrom="paragraph">
                      <wp:posOffset>48895</wp:posOffset>
                    </wp:positionV>
                    <wp:extent cx="4800600" cy="2276475"/>
                    <wp:effectExtent l="0" t="0" r="19050" b="28575"/>
                    <wp:wrapNone/>
                    <wp:docPr id="1709465722" name="Rectángulo 1709465722"/>
                    <wp:cNvGraphicFramePr/>
                    <a:graphic xmlns:a="http://schemas.openxmlformats.org/drawingml/2006/main">
                      <a:graphicData uri="http://schemas.microsoft.com/office/word/2010/wordprocessingShape">
                        <wps:wsp>
                          <wps:cNvSpPr/>
                          <wps:spPr>
                            <a:xfrm>
                              <a:off x="0" y="0"/>
                              <a:ext cx="4800600" cy="2276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9BAC0" w14:textId="77777777" w:rsidR="00F2150C" w:rsidRDefault="00D84AD5" w:rsidP="00FC4FA9">
                                <w:pPr>
                                  <w:spacing w:line="240" w:lineRule="auto"/>
                                  <w:textDirection w:val="btLr"/>
                                  <w:rPr>
                                    <w:color w:val="000000"/>
                                  </w:rPr>
                                </w:pPr>
                                <w:r>
                                  <w:rPr>
                                    <w:color w:val="000000"/>
                                  </w:rPr>
                                  <w:t>Tome en cuenta los signos de alarma para el abordaje del paciente</w:t>
                                </w:r>
                              </w:p>
                              <w:p w14:paraId="238E1EDC" w14:textId="77777777" w:rsidR="00FC4FA9" w:rsidRDefault="00FC4FA9" w:rsidP="00FC4FA9">
                                <w:pPr>
                                  <w:pStyle w:val="Sinespaciado"/>
                                </w:pPr>
                                <w:r>
                                  <w:t>Edad 50 años</w:t>
                                </w:r>
                              </w:p>
                              <w:p w14:paraId="1E429FDC" w14:textId="77777777" w:rsidR="00FC4FA9" w:rsidRDefault="00FC4FA9" w:rsidP="00FC4FA9">
                                <w:pPr>
                                  <w:pStyle w:val="Sinespaciado"/>
                                </w:pPr>
                                <w:r>
                                  <w:t>Anorexia</w:t>
                                </w:r>
                              </w:p>
                              <w:p w14:paraId="7CFB8EC3" w14:textId="77777777" w:rsidR="00FC4FA9" w:rsidRDefault="00FC4FA9" w:rsidP="00FC4FA9">
                                <w:pPr>
                                  <w:pStyle w:val="Sinespaciado"/>
                                </w:pPr>
                                <w:r>
                                  <w:t>Perdida involuntaria de peso &gt;5% en tres meses</w:t>
                                </w:r>
                              </w:p>
                              <w:p w14:paraId="59A0D8DB" w14:textId="77777777" w:rsidR="00FC4FA9" w:rsidRDefault="00FC4FA9" w:rsidP="00FC4FA9">
                                <w:pPr>
                                  <w:pStyle w:val="Sinespaciado"/>
                                </w:pPr>
                                <w:r>
                                  <w:t>Estreñimiento reciente en ancianos</w:t>
                                </w:r>
                              </w:p>
                              <w:p w14:paraId="0AAC39E1" w14:textId="77777777" w:rsidR="00FC4FA9" w:rsidRDefault="00FC4FA9" w:rsidP="00FC4FA9">
                                <w:pPr>
                                  <w:pStyle w:val="Sinespaciado"/>
                                </w:pPr>
                                <w:r>
                                  <w:t>Síntomas nocturnos</w:t>
                                </w:r>
                              </w:p>
                              <w:p w14:paraId="0C352AEF" w14:textId="77777777" w:rsidR="00FC4FA9" w:rsidRDefault="00FC4FA9" w:rsidP="00FC4FA9">
                                <w:pPr>
                                  <w:pStyle w:val="Sinespaciado"/>
                                </w:pPr>
                                <w:r>
                                  <w:t>Sangrado rectal</w:t>
                                </w:r>
                              </w:p>
                              <w:p w14:paraId="6EBCBD28" w14:textId="77777777" w:rsidR="00FC4FA9" w:rsidRDefault="00FC4FA9" w:rsidP="00FC4FA9">
                                <w:pPr>
                                  <w:pStyle w:val="Sinespaciado"/>
                                </w:pPr>
                                <w:r>
                                  <w:t>Anemia, leucocitosis</w:t>
                                </w:r>
                              </w:p>
                              <w:p w14:paraId="59B1996C" w14:textId="77777777" w:rsidR="00FC4FA9" w:rsidRDefault="00FC4FA9" w:rsidP="00FC4FA9">
                                <w:pPr>
                                  <w:pStyle w:val="Sinespaciado"/>
                                </w:pPr>
                                <w:r>
                                  <w:t>Masa abdominal</w:t>
                                </w:r>
                              </w:p>
                              <w:p w14:paraId="0D57A1AC" w14:textId="77777777" w:rsidR="00FC4FA9" w:rsidRDefault="00FC4FA9" w:rsidP="00FC4FA9">
                                <w:pPr>
                                  <w:pStyle w:val="Sinespaciado"/>
                                </w:pPr>
                                <w:r>
                                  <w:t>Masa rectal</w:t>
                                </w:r>
                              </w:p>
                              <w:p w14:paraId="75E20A5D" w14:textId="77777777" w:rsidR="00FC4FA9" w:rsidRDefault="00FC4FA9" w:rsidP="00FC4FA9">
                                <w:pPr>
                                  <w:pStyle w:val="Sinespaciado"/>
                                </w:pPr>
                                <w:r>
                                  <w:t>Historia familiar de primer grado</w:t>
                                </w:r>
                              </w:p>
                              <w:p w14:paraId="7BB48B8A" w14:textId="77777777" w:rsidR="00FC4FA9" w:rsidRDefault="00FC4FA9" w:rsidP="00FC4FA9">
                                <w:pPr>
                                  <w:pStyle w:val="Sinespaciado"/>
                                </w:pPr>
                                <w:r>
                                  <w:t>Cáncer de colon o enfermedad inflamatoria intestinal o enfermedad celiaca</w:t>
                                </w:r>
                              </w:p>
                              <w:p w14:paraId="585A33C7" w14:textId="77777777" w:rsidR="00FC4FA9" w:rsidRDefault="00FC4FA9">
                                <w:pPr>
                                  <w:spacing w:line="275" w:lineRule="auto"/>
                                  <w:textDirection w:val="btLr"/>
                                  <w:rPr>
                                    <w:color w:val="000000"/>
                                  </w:rPr>
                                </w:pPr>
                              </w:p>
                              <w:p w14:paraId="178142DF" w14:textId="77777777" w:rsidR="00FC4FA9" w:rsidRDefault="00FC4FA9">
                                <w:pPr>
                                  <w:spacing w:line="275" w:lineRule="auto"/>
                                  <w:textDirection w:val="btLr"/>
                                </w:pPr>
                              </w:p>
                              <w:p w14:paraId="54EF15DD" w14:textId="77777777" w:rsidR="00F2150C" w:rsidRDefault="00F2150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3F1988" id="Rectángulo 1709465722" o:spid="_x0000_s1035" style="position:absolute;margin-left:47.7pt;margin-top:3.85pt;width:378pt;height:17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">
                    <v:stroke startarrowwidth="narrow" startarrowlength="short" endarrowwidth="narrow" endarrowlength="short"/>
                    <v:textbox inset="2.53958mm,1.2694mm,2.53958mm,1.2694mm">
                      <w:txbxContent>
                        <w:p w14:paraId="2C49BAC0" w14:textId="77777777" w:rsidR="00F2150C" w:rsidRDefault="00D84AD5" w:rsidP="00FC4FA9">
                          <w:pPr>
                            <w:spacing w:line="240" w:lineRule="auto"/>
                            <w:textDirection w:val="btLr"/>
                            <w:rPr>
                              <w:color w:val="000000"/>
                            </w:rPr>
                          </w:pPr>
                          <w:r>
                            <w:rPr>
                              <w:color w:val="000000"/>
                            </w:rPr>
                            <w:t>Tome en cuenta los signos de alarma para el abordaje del paciente</w:t>
                          </w:r>
                        </w:p>
                        <w:p w14:paraId="238E1EDC" w14:textId="77777777" w:rsidR="00FC4FA9" w:rsidRDefault="00FC4FA9" w:rsidP="00FC4FA9">
                          <w:pPr>
                            <w:pStyle w:val="Sinespaciado"/>
                          </w:pPr>
                          <w:r>
                            <w:t>Edad 50 años</w:t>
                          </w:r>
                        </w:p>
                        <w:p w14:paraId="1E429FDC" w14:textId="77777777" w:rsidR="00FC4FA9" w:rsidRDefault="00FC4FA9" w:rsidP="00FC4FA9">
                          <w:pPr>
                            <w:pStyle w:val="Sinespaciado"/>
                          </w:pPr>
                          <w:r>
                            <w:t>Anorexia</w:t>
                          </w:r>
                        </w:p>
                        <w:p w14:paraId="7CFB8EC3" w14:textId="77777777" w:rsidR="00FC4FA9" w:rsidRDefault="00FC4FA9" w:rsidP="00FC4FA9">
                          <w:pPr>
                            <w:pStyle w:val="Sinespaciado"/>
                          </w:pPr>
                          <w:r>
                            <w:t>Perdida involuntaria de peso &gt;5% en tres meses</w:t>
                          </w:r>
                        </w:p>
                        <w:p w14:paraId="59A0D8DB" w14:textId="77777777" w:rsidR="00FC4FA9" w:rsidRDefault="00FC4FA9" w:rsidP="00FC4FA9">
                          <w:pPr>
                            <w:pStyle w:val="Sinespaciado"/>
                          </w:pPr>
                          <w:r>
                            <w:t>Estreñimiento reciente en ancianos</w:t>
                          </w:r>
                        </w:p>
                        <w:p w14:paraId="0AAC39E1" w14:textId="77777777" w:rsidR="00FC4FA9" w:rsidRDefault="00FC4FA9" w:rsidP="00FC4FA9">
                          <w:pPr>
                            <w:pStyle w:val="Sinespaciado"/>
                          </w:pPr>
                          <w:r>
                            <w:t>Síntomas nocturnos</w:t>
                          </w:r>
                        </w:p>
                        <w:p w14:paraId="0C352AEF" w14:textId="77777777" w:rsidR="00FC4FA9" w:rsidRDefault="00FC4FA9" w:rsidP="00FC4FA9">
                          <w:pPr>
                            <w:pStyle w:val="Sinespaciado"/>
                          </w:pPr>
                          <w:r>
                            <w:t>Sangrado rectal</w:t>
                          </w:r>
                        </w:p>
                        <w:p w14:paraId="6EBCBD28" w14:textId="77777777" w:rsidR="00FC4FA9" w:rsidRDefault="00FC4FA9" w:rsidP="00FC4FA9">
                          <w:pPr>
                            <w:pStyle w:val="Sinespaciado"/>
                          </w:pPr>
                          <w:r>
                            <w:t>Anemia, leucocitosis</w:t>
                          </w:r>
                        </w:p>
                        <w:p w14:paraId="59B1996C" w14:textId="77777777" w:rsidR="00FC4FA9" w:rsidRDefault="00FC4FA9" w:rsidP="00FC4FA9">
                          <w:pPr>
                            <w:pStyle w:val="Sinespaciado"/>
                          </w:pPr>
                          <w:r>
                            <w:t>Masa abdominal</w:t>
                          </w:r>
                        </w:p>
                        <w:p w14:paraId="0D57A1AC" w14:textId="77777777" w:rsidR="00FC4FA9" w:rsidRDefault="00FC4FA9" w:rsidP="00FC4FA9">
                          <w:pPr>
                            <w:pStyle w:val="Sinespaciado"/>
                          </w:pPr>
                          <w:r>
                            <w:t>Masa rectal</w:t>
                          </w:r>
                        </w:p>
                        <w:p w14:paraId="75E20A5D" w14:textId="77777777" w:rsidR="00FC4FA9" w:rsidRDefault="00FC4FA9" w:rsidP="00FC4FA9">
                          <w:pPr>
                            <w:pStyle w:val="Sinespaciado"/>
                          </w:pPr>
                          <w:r>
                            <w:t>Historia familiar de primer grado</w:t>
                          </w:r>
                        </w:p>
                        <w:p w14:paraId="7BB48B8A" w14:textId="77777777" w:rsidR="00FC4FA9" w:rsidRDefault="00FC4FA9" w:rsidP="00FC4FA9">
                          <w:pPr>
                            <w:pStyle w:val="Sinespaciado"/>
                          </w:pPr>
                          <w:r>
                            <w:t>Cáncer de colon o enfermedad inflamatoria intestinal o enfermedad celiaca</w:t>
                          </w:r>
                        </w:p>
                        <w:p w14:paraId="585A33C7" w14:textId="77777777" w:rsidR="00FC4FA9" w:rsidRDefault="00FC4FA9">
                          <w:pPr>
                            <w:spacing w:line="275" w:lineRule="auto"/>
                            <w:textDirection w:val="btLr"/>
                            <w:rPr>
                              <w:color w:val="000000"/>
                            </w:rPr>
                          </w:pPr>
                        </w:p>
                        <w:p w14:paraId="178142DF" w14:textId="77777777" w:rsidR="00FC4FA9" w:rsidRDefault="00FC4FA9">
                          <w:pPr>
                            <w:spacing w:line="275" w:lineRule="auto"/>
                            <w:textDirection w:val="btLr"/>
                          </w:pPr>
                        </w:p>
                        <w:p w14:paraId="54EF15DD" w14:textId="77777777" w:rsidR="00F2150C" w:rsidRDefault="00F2150C">
                          <w:pPr>
                            <w:spacing w:line="275" w:lineRule="auto"/>
                            <w:textDirection w:val="btLr"/>
                          </w:pPr>
                        </w:p>
                      </w:txbxContent>
                    </v:textbox>
                    <w10:wrap anchorx="margin"/>
                  </v:rect>
                </w:pict>
              </mc:Fallback>
            </mc:AlternateContent>
          </w:r>
        </w:p>
        <w:p w14:paraId="41D410D5" w14:textId="77777777" w:rsidR="00F2150C" w:rsidRPr="0016703E" w:rsidRDefault="00F2150C" w:rsidP="0016703E">
          <w:pPr>
            <w:spacing w:after="0" w:line="240" w:lineRule="auto"/>
            <w:rPr>
              <w:rFonts w:ascii="Century Gothic" w:eastAsia="Arial" w:hAnsi="Century Gothic" w:cs="Arial"/>
              <w:b/>
              <w:sz w:val="24"/>
              <w:szCs w:val="24"/>
            </w:rPr>
          </w:pPr>
        </w:p>
        <w:p w14:paraId="7F9686E8" w14:textId="77777777" w:rsidR="00F2150C" w:rsidRPr="0016703E" w:rsidRDefault="00F2150C" w:rsidP="0016703E">
          <w:pPr>
            <w:spacing w:after="0" w:line="240" w:lineRule="auto"/>
            <w:rPr>
              <w:rFonts w:ascii="Century Gothic" w:eastAsia="Arial" w:hAnsi="Century Gothic" w:cs="Arial"/>
              <w:b/>
              <w:sz w:val="24"/>
              <w:szCs w:val="24"/>
            </w:rPr>
          </w:pPr>
        </w:p>
        <w:p w14:paraId="4CC266B8" w14:textId="77777777" w:rsidR="00F2150C" w:rsidRPr="0016703E" w:rsidRDefault="00F2150C" w:rsidP="0016703E">
          <w:pPr>
            <w:spacing w:after="0" w:line="240" w:lineRule="auto"/>
            <w:rPr>
              <w:rFonts w:ascii="Century Gothic" w:eastAsia="Arial" w:hAnsi="Century Gothic" w:cs="Arial"/>
              <w:b/>
              <w:sz w:val="24"/>
              <w:szCs w:val="24"/>
            </w:rPr>
          </w:pPr>
        </w:p>
        <w:p w14:paraId="58EB852C" w14:textId="77777777" w:rsidR="00F2150C" w:rsidRPr="0016703E" w:rsidRDefault="00F2150C" w:rsidP="0016703E">
          <w:pPr>
            <w:spacing w:after="0" w:line="240" w:lineRule="auto"/>
            <w:rPr>
              <w:rFonts w:ascii="Century Gothic" w:eastAsia="Arial" w:hAnsi="Century Gothic" w:cs="Arial"/>
              <w:b/>
              <w:sz w:val="24"/>
              <w:szCs w:val="24"/>
            </w:rPr>
          </w:pPr>
        </w:p>
        <w:p w14:paraId="5E60CB24" w14:textId="77777777" w:rsidR="00F2150C" w:rsidRPr="0016703E" w:rsidRDefault="00F2150C" w:rsidP="0016703E">
          <w:pPr>
            <w:spacing w:after="0" w:line="240" w:lineRule="auto"/>
            <w:rPr>
              <w:rFonts w:ascii="Century Gothic" w:eastAsia="Arial" w:hAnsi="Century Gothic" w:cs="Arial"/>
              <w:b/>
              <w:sz w:val="24"/>
              <w:szCs w:val="24"/>
            </w:rPr>
          </w:pPr>
        </w:p>
        <w:p w14:paraId="425DFBF8" w14:textId="77777777" w:rsidR="00F2150C" w:rsidRPr="0016703E" w:rsidRDefault="00FC4FA9" w:rsidP="0016703E">
          <w:pPr>
            <w:tabs>
              <w:tab w:val="left" w:pos="8070"/>
            </w:tabs>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ab/>
          </w:r>
        </w:p>
        <w:p w14:paraId="2A983568"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2C45A83B"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0753A3EC" w14:textId="04776E83" w:rsidR="00FC4FA9" w:rsidRPr="0016703E" w:rsidRDefault="004636B9" w:rsidP="0016703E">
          <w:pPr>
            <w:tabs>
              <w:tab w:val="left" w:pos="8070"/>
            </w:tabs>
            <w:spacing w:after="0" w:line="240" w:lineRule="auto"/>
            <w:rPr>
              <w:rFonts w:ascii="Century Gothic" w:eastAsia="Arial" w:hAnsi="Century Gothic" w:cs="Arial"/>
              <w:b/>
              <w:sz w:val="24"/>
              <w:szCs w:val="24"/>
            </w:rPr>
          </w:pPr>
        </w:p>
      </w:sdtContent>
    </w:sdt>
    <w:p w14:paraId="532E27B3" w14:textId="77777777" w:rsidR="000505ED" w:rsidRPr="0016703E" w:rsidRDefault="000505ED" w:rsidP="000505ED">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lastRenderedPageBreak/>
        <w:t>BIBLIOGRAFÍA</w:t>
      </w:r>
    </w:p>
    <w:p w14:paraId="2CB5D89E" w14:textId="77777777" w:rsidR="000505ED" w:rsidRPr="00620A4E" w:rsidRDefault="000505ED" w:rsidP="000505ED">
      <w:pPr>
        <w:pStyle w:val="Ttulo1"/>
        <w:numPr>
          <w:ilvl w:val="0"/>
          <w:numId w:val="7"/>
        </w:numPr>
        <w:spacing w:before="0" w:beforeAutospacing="0" w:after="0" w:afterAutospacing="0"/>
        <w:rPr>
          <w:rFonts w:ascii="Century Gothic" w:eastAsia="Arial" w:hAnsi="Century Gothic" w:cs="Arial"/>
          <w:b w:val="0"/>
          <w:sz w:val="24"/>
          <w:szCs w:val="24"/>
        </w:rPr>
      </w:pPr>
      <w:r w:rsidRPr="00620A4E">
        <w:rPr>
          <w:rFonts w:ascii="Century Gothic" w:eastAsia="Arial" w:hAnsi="Century Gothic" w:cs="Arial"/>
          <w:b w:val="0"/>
          <w:sz w:val="24"/>
          <w:szCs w:val="24"/>
        </w:rPr>
        <w:t xml:space="preserve">Otero R. W, Otero P. L, Marulanda F. H. Síndrome de intestino irritable (SII): Nuevos conceptos en 2023. Medicina [Internet]. 2022 [citado el 16 de mayo de 2024];44(3):347–71. Disponible en: </w:t>
      </w:r>
      <w:hyperlink r:id="rId13">
        <w:r w:rsidRPr="00620A4E">
          <w:rPr>
            <w:rFonts w:ascii="Century Gothic" w:eastAsia="Arial" w:hAnsi="Century Gothic" w:cs="Arial"/>
            <w:b w:val="0"/>
            <w:sz w:val="24"/>
            <w:szCs w:val="24"/>
          </w:rPr>
          <w:t>https://www.mendeley.com/catalogue/0b44a56a-34d0-3cd4-9067-603d664edc99/</w:t>
        </w:r>
      </w:hyperlink>
    </w:p>
    <w:p w14:paraId="6AFE1748" w14:textId="77777777" w:rsidR="00620A4E" w:rsidRPr="0016703E" w:rsidRDefault="00620A4E" w:rsidP="00620A4E">
      <w:pPr>
        <w:pStyle w:val="Ttulo1"/>
        <w:spacing w:before="0" w:beforeAutospacing="0" w:after="0" w:afterAutospacing="0"/>
        <w:ind w:left="720"/>
        <w:rPr>
          <w:rFonts w:ascii="Century Gothic" w:eastAsia="Arial" w:hAnsi="Century Gothic" w:cs="Arial"/>
          <w:b w:val="0"/>
          <w:sz w:val="24"/>
          <w:szCs w:val="24"/>
        </w:rPr>
      </w:pPr>
    </w:p>
    <w:p w14:paraId="5743F007" w14:textId="43FFCD58" w:rsidR="000505ED"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620A4E">
        <w:rPr>
          <w:rFonts w:ascii="Century Gothic" w:eastAsia="Arial" w:hAnsi="Century Gothic" w:cs="Arial"/>
          <w:sz w:val="24"/>
          <w:szCs w:val="24"/>
        </w:rPr>
        <w:t>Mearin</w:t>
      </w:r>
      <w:proofErr w:type="spellEnd"/>
      <w:r w:rsidRPr="00620A4E">
        <w:rPr>
          <w:rFonts w:ascii="Century Gothic" w:eastAsia="Arial" w:hAnsi="Century Gothic" w:cs="Arial"/>
          <w:sz w:val="24"/>
          <w:szCs w:val="24"/>
        </w:rPr>
        <w:t xml:space="preserve"> F, Ciriza C, Mínguez M, Rey E, </w:t>
      </w:r>
      <w:proofErr w:type="spellStart"/>
      <w:r w:rsidRPr="00620A4E">
        <w:rPr>
          <w:rFonts w:ascii="Century Gothic" w:eastAsia="Arial" w:hAnsi="Century Gothic" w:cs="Arial"/>
          <w:sz w:val="24"/>
          <w:szCs w:val="24"/>
        </w:rPr>
        <w:t>Mascort</w:t>
      </w:r>
      <w:proofErr w:type="spellEnd"/>
      <w:r w:rsidRPr="00620A4E">
        <w:rPr>
          <w:rFonts w:ascii="Century Gothic" w:eastAsia="Arial" w:hAnsi="Century Gothic" w:cs="Arial"/>
          <w:sz w:val="24"/>
          <w:szCs w:val="24"/>
        </w:rPr>
        <w:t xml:space="preserve"> JJ, Peña E, et al. </w:t>
      </w:r>
      <w:proofErr w:type="spellStart"/>
      <w:r w:rsidRPr="00620A4E">
        <w:rPr>
          <w:rFonts w:ascii="Century Gothic" w:eastAsia="Arial" w:hAnsi="Century Gothic" w:cs="Arial"/>
          <w:sz w:val="24"/>
          <w:szCs w:val="24"/>
        </w:rPr>
        <w:t>Clinical</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Practice</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Guideline</w:t>
      </w:r>
      <w:proofErr w:type="spellEnd"/>
      <w:r w:rsidRPr="00620A4E">
        <w:rPr>
          <w:rFonts w:ascii="Century Gothic" w:eastAsia="Arial" w:hAnsi="Century Gothic" w:cs="Arial"/>
          <w:sz w:val="24"/>
          <w:szCs w:val="24"/>
        </w:rPr>
        <w:t xml:space="preserve">: Irritable </w:t>
      </w:r>
      <w:proofErr w:type="spellStart"/>
      <w:r w:rsidRPr="00620A4E">
        <w:rPr>
          <w:rFonts w:ascii="Century Gothic" w:eastAsia="Arial" w:hAnsi="Century Gothic" w:cs="Arial"/>
          <w:sz w:val="24"/>
          <w:szCs w:val="24"/>
        </w:rPr>
        <w:t>bowel</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syndrome</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with</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constipation</w:t>
      </w:r>
      <w:proofErr w:type="spellEnd"/>
      <w:r w:rsidRPr="00620A4E">
        <w:rPr>
          <w:rFonts w:ascii="Century Gothic" w:eastAsia="Arial" w:hAnsi="Century Gothic" w:cs="Arial"/>
          <w:sz w:val="24"/>
          <w:szCs w:val="24"/>
        </w:rPr>
        <w:t xml:space="preserve"> and </w:t>
      </w:r>
      <w:proofErr w:type="spellStart"/>
      <w:r w:rsidRPr="00620A4E">
        <w:rPr>
          <w:rFonts w:ascii="Century Gothic" w:eastAsia="Arial" w:hAnsi="Century Gothic" w:cs="Arial"/>
          <w:sz w:val="24"/>
          <w:szCs w:val="24"/>
        </w:rPr>
        <w:t>functional</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constipation</w:t>
      </w:r>
      <w:proofErr w:type="spellEnd"/>
      <w:r w:rsidRPr="00620A4E">
        <w:rPr>
          <w:rFonts w:ascii="Century Gothic" w:eastAsia="Arial" w:hAnsi="Century Gothic" w:cs="Arial"/>
          <w:sz w:val="24"/>
          <w:szCs w:val="24"/>
        </w:rPr>
        <w:t xml:space="preserve"> in </w:t>
      </w:r>
      <w:proofErr w:type="spellStart"/>
      <w:r w:rsidRPr="00620A4E">
        <w:rPr>
          <w:rFonts w:ascii="Century Gothic" w:eastAsia="Arial" w:hAnsi="Century Gothic" w:cs="Arial"/>
          <w:sz w:val="24"/>
          <w:szCs w:val="24"/>
        </w:rPr>
        <w:t>the</w:t>
      </w:r>
      <w:proofErr w:type="spellEnd"/>
      <w:r w:rsidRPr="00620A4E">
        <w:rPr>
          <w:rFonts w:ascii="Century Gothic" w:eastAsia="Arial" w:hAnsi="Century Gothic" w:cs="Arial"/>
          <w:sz w:val="24"/>
          <w:szCs w:val="24"/>
        </w:rPr>
        <w:t xml:space="preserve"> </w:t>
      </w:r>
      <w:proofErr w:type="spellStart"/>
      <w:r w:rsidRPr="00620A4E">
        <w:rPr>
          <w:rFonts w:ascii="Century Gothic" w:eastAsia="Arial" w:hAnsi="Century Gothic" w:cs="Arial"/>
          <w:sz w:val="24"/>
          <w:szCs w:val="24"/>
        </w:rPr>
        <w:t>adult</w:t>
      </w:r>
      <w:proofErr w:type="spellEnd"/>
      <w:r w:rsidRPr="00620A4E">
        <w:rPr>
          <w:rFonts w:ascii="Century Gothic" w:eastAsia="Arial" w:hAnsi="Century Gothic" w:cs="Arial"/>
          <w:sz w:val="24"/>
          <w:szCs w:val="24"/>
        </w:rPr>
        <w:t xml:space="preserve"> [Internet]. Isciii.es. [citado el 16 de mayo de 2024]. Disponible en: </w:t>
      </w:r>
      <w:hyperlink r:id="rId14">
        <w:r w:rsidRPr="00620A4E">
          <w:rPr>
            <w:rFonts w:ascii="Century Gothic" w:eastAsia="Arial" w:hAnsi="Century Gothic" w:cs="Arial"/>
            <w:sz w:val="24"/>
            <w:szCs w:val="24"/>
          </w:rPr>
          <w:t>https://scielo.isciii.es/pdf/diges/v108n6/especial.pdf</w:t>
        </w:r>
      </w:hyperlink>
      <w:r w:rsidR="00620A4E">
        <w:rPr>
          <w:rFonts w:ascii="Century Gothic" w:eastAsia="Arial" w:hAnsi="Century Gothic" w:cs="Arial"/>
          <w:sz w:val="24"/>
          <w:szCs w:val="24"/>
        </w:rPr>
        <w:t>.</w:t>
      </w:r>
    </w:p>
    <w:p w14:paraId="034783F1" w14:textId="77777777" w:rsidR="00620A4E" w:rsidRPr="00620A4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645C1315" w14:textId="5816D5EC"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620A4E">
        <w:rPr>
          <w:rFonts w:ascii="Century Gothic" w:eastAsia="Arial" w:hAnsi="Century Gothic" w:cs="Arial"/>
          <w:sz w:val="24"/>
          <w:szCs w:val="24"/>
        </w:rPr>
        <w:t>Mearin</w:t>
      </w:r>
      <w:proofErr w:type="spellEnd"/>
      <w:r w:rsidRPr="00620A4E">
        <w:rPr>
          <w:rFonts w:ascii="Century Gothic" w:eastAsia="Arial" w:hAnsi="Century Gothic" w:cs="Arial"/>
          <w:sz w:val="24"/>
          <w:szCs w:val="24"/>
        </w:rPr>
        <w:t xml:space="preserve"> F, Ciriza C, Mínguez M, Rey E, </w:t>
      </w:r>
      <w:proofErr w:type="spellStart"/>
      <w:r w:rsidRPr="00620A4E">
        <w:rPr>
          <w:rFonts w:ascii="Century Gothic" w:eastAsia="Arial" w:hAnsi="Century Gothic" w:cs="Arial"/>
          <w:sz w:val="24"/>
          <w:szCs w:val="24"/>
        </w:rPr>
        <w:t>Mascort</w:t>
      </w:r>
      <w:proofErr w:type="spellEnd"/>
      <w:r w:rsidRPr="00620A4E">
        <w:rPr>
          <w:rFonts w:ascii="Century Gothic" w:eastAsia="Arial" w:hAnsi="Century Gothic" w:cs="Arial"/>
          <w:sz w:val="24"/>
          <w:szCs w:val="24"/>
        </w:rPr>
        <w:t xml:space="preserve"> JJ, Peña E, et al. Guía de práctica clínica. Síndrome del intestino irritable con estreñimiento y estreñimiento funcional en adultos: concepto, diagnóstico y continuidad asistencial (Parte 1). </w:t>
      </w:r>
      <w:proofErr w:type="spellStart"/>
      <w:r w:rsidRPr="00620A4E">
        <w:rPr>
          <w:rFonts w:ascii="Century Gothic" w:eastAsia="Arial" w:hAnsi="Century Gothic" w:cs="Arial"/>
          <w:sz w:val="24"/>
          <w:szCs w:val="24"/>
        </w:rPr>
        <w:t>Med</w:t>
      </w:r>
      <w:proofErr w:type="spellEnd"/>
      <w:r w:rsidRPr="00620A4E">
        <w:rPr>
          <w:rFonts w:ascii="Century Gothic" w:eastAsia="Arial" w:hAnsi="Century Gothic" w:cs="Arial"/>
          <w:sz w:val="24"/>
          <w:szCs w:val="24"/>
        </w:rPr>
        <w:t xml:space="preserve"> Gen </w:t>
      </w:r>
      <w:proofErr w:type="spellStart"/>
      <w:r w:rsidRPr="00620A4E">
        <w:rPr>
          <w:rFonts w:ascii="Century Gothic" w:eastAsia="Arial" w:hAnsi="Century Gothic" w:cs="Arial"/>
          <w:sz w:val="24"/>
          <w:szCs w:val="24"/>
        </w:rPr>
        <w:t>Fam</w:t>
      </w:r>
      <w:proofErr w:type="spellEnd"/>
      <w:r w:rsidRPr="00620A4E">
        <w:rPr>
          <w:rFonts w:ascii="Century Gothic" w:eastAsia="Arial" w:hAnsi="Century Gothic" w:cs="Arial"/>
          <w:sz w:val="24"/>
          <w:szCs w:val="24"/>
        </w:rPr>
        <w:t xml:space="preserve"> [Internet]. 2017;6(1):23–35. Disponible en: </w:t>
      </w:r>
      <w:hyperlink r:id="rId15">
        <w:r w:rsidRPr="00620A4E">
          <w:rPr>
            <w:rFonts w:ascii="Century Gothic" w:eastAsia="Arial" w:hAnsi="Century Gothic" w:cs="Arial"/>
            <w:sz w:val="24"/>
            <w:szCs w:val="24"/>
          </w:rPr>
          <w:t>https://mgyf.org/wp-content/uploads/2017/revistas/v6n1/mgyf_v6n1_2017_005.pdf</w:t>
        </w:r>
      </w:hyperlink>
      <w:r w:rsidR="00620A4E" w:rsidRPr="00620A4E">
        <w:rPr>
          <w:rFonts w:ascii="Century Gothic" w:eastAsia="Arial" w:hAnsi="Century Gothic" w:cs="Arial"/>
          <w:sz w:val="24"/>
          <w:szCs w:val="24"/>
        </w:rPr>
        <w:t>.</w:t>
      </w:r>
    </w:p>
    <w:p w14:paraId="144CAD96"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3B5504F7" w14:textId="2522B49E" w:rsidR="000505ED" w:rsidRDefault="000505ED" w:rsidP="000505ED">
      <w:pPr>
        <w:numPr>
          <w:ilvl w:val="0"/>
          <w:numId w:val="7"/>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Colombia. Guía de práctica clínica en el diagnóstico y tratamiento del Síndrome de intestino irritable en la población adulta. Actualización y recomendaciones. Sociedad Colombiana de Gastroenterología y universidad Nacional d</w:t>
      </w:r>
      <w:r w:rsidRPr="0016703E">
        <w:rPr>
          <w:rFonts w:ascii="Century Gothic" w:eastAsia="Arial" w:hAnsi="Century Gothic" w:cs="Arial"/>
          <w:sz w:val="24"/>
          <w:szCs w:val="24"/>
          <w:highlight w:val="white"/>
        </w:rPr>
        <w:t xml:space="preserve">e Colombia. </w:t>
      </w:r>
      <w:r w:rsidRPr="0016703E">
        <w:rPr>
          <w:rFonts w:ascii="Century Gothic" w:eastAsia="Arial" w:hAnsi="Century Gothic" w:cs="Arial"/>
          <w:sz w:val="24"/>
          <w:szCs w:val="24"/>
        </w:rPr>
        <w:t xml:space="preserve">Bogotá DC, </w:t>
      </w:r>
      <w:r w:rsidR="00620A4E" w:rsidRPr="0016703E">
        <w:rPr>
          <w:rFonts w:ascii="Century Gothic" w:eastAsia="Arial" w:hAnsi="Century Gothic" w:cs="Arial"/>
          <w:sz w:val="24"/>
          <w:szCs w:val="24"/>
        </w:rPr>
        <w:t>agosto</w:t>
      </w:r>
      <w:r w:rsidRPr="0016703E">
        <w:rPr>
          <w:rFonts w:ascii="Century Gothic" w:eastAsia="Arial" w:hAnsi="Century Gothic" w:cs="Arial"/>
          <w:sz w:val="24"/>
          <w:szCs w:val="24"/>
        </w:rPr>
        <w:t xml:space="preserve"> 2021. Alma digital S.A.S</w:t>
      </w:r>
    </w:p>
    <w:p w14:paraId="15BB05F5" w14:textId="77777777" w:rsidR="00620A4E" w:rsidRPr="0016703E" w:rsidRDefault="00620A4E" w:rsidP="00620A4E">
      <w:pPr>
        <w:spacing w:after="0" w:line="240" w:lineRule="auto"/>
        <w:jc w:val="both"/>
        <w:rPr>
          <w:rFonts w:ascii="Century Gothic" w:eastAsia="Arial" w:hAnsi="Century Gothic" w:cs="Arial"/>
          <w:sz w:val="24"/>
          <w:szCs w:val="24"/>
        </w:rPr>
      </w:pPr>
    </w:p>
    <w:p w14:paraId="47AC46A1" w14:textId="77777777" w:rsidR="000505ED" w:rsidRPr="0016703E" w:rsidRDefault="000505ED" w:rsidP="000505ED">
      <w:pPr>
        <w:numPr>
          <w:ilvl w:val="0"/>
          <w:numId w:val="7"/>
        </w:numPr>
        <w:spacing w:after="0" w:line="240" w:lineRule="auto"/>
        <w:rPr>
          <w:rFonts w:ascii="Century Gothic" w:eastAsia="Arial" w:hAnsi="Century Gothic" w:cs="Arial"/>
          <w:sz w:val="24"/>
          <w:szCs w:val="24"/>
        </w:rPr>
      </w:pPr>
      <w:r w:rsidRPr="0016703E">
        <w:rPr>
          <w:rFonts w:ascii="Century Gothic" w:eastAsia="Arial" w:hAnsi="Century Gothic" w:cs="Arial"/>
          <w:sz w:val="24"/>
          <w:szCs w:val="24"/>
        </w:rPr>
        <w:t>Escobar TG, Romo AG. Diagnóstico y manejo integral del SII. Pol. Con. (Edición núm. 84) Vol. 8, No 7 Julio 2023, pp. 923-943</w:t>
      </w:r>
    </w:p>
    <w:p w14:paraId="371E7298"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color w:val="000000"/>
          <w:sz w:val="24"/>
          <w:szCs w:val="24"/>
        </w:rPr>
        <w:t>Lovell</w:t>
      </w:r>
      <w:proofErr w:type="spellEnd"/>
      <w:r w:rsidRPr="0016703E">
        <w:rPr>
          <w:rFonts w:ascii="Century Gothic" w:eastAsia="Arial" w:hAnsi="Century Gothic" w:cs="Arial"/>
          <w:color w:val="000000"/>
          <w:sz w:val="24"/>
          <w:szCs w:val="24"/>
        </w:rPr>
        <w:t xml:space="preserve"> RM, Ford AC. Global </w:t>
      </w:r>
      <w:proofErr w:type="spellStart"/>
      <w:r w:rsidRPr="0016703E">
        <w:rPr>
          <w:rFonts w:ascii="Century Gothic" w:eastAsia="Arial" w:hAnsi="Century Gothic" w:cs="Arial"/>
          <w:color w:val="000000"/>
          <w:sz w:val="24"/>
          <w:szCs w:val="24"/>
        </w:rPr>
        <w:t>prevalence</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of</w:t>
      </w:r>
      <w:proofErr w:type="spellEnd"/>
      <w:r w:rsidRPr="0016703E">
        <w:rPr>
          <w:rFonts w:ascii="Century Gothic" w:eastAsia="Arial" w:hAnsi="Century Gothic" w:cs="Arial"/>
          <w:color w:val="000000"/>
          <w:sz w:val="24"/>
          <w:szCs w:val="24"/>
        </w:rPr>
        <w:t xml:space="preserve"> and </w:t>
      </w:r>
      <w:proofErr w:type="spellStart"/>
      <w:r w:rsidRPr="0016703E">
        <w:rPr>
          <w:rFonts w:ascii="Century Gothic" w:eastAsia="Arial" w:hAnsi="Century Gothic" w:cs="Arial"/>
          <w:color w:val="000000"/>
          <w:sz w:val="24"/>
          <w:szCs w:val="24"/>
        </w:rPr>
        <w:t>risk</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factors</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for</w:t>
      </w:r>
      <w:proofErr w:type="spellEnd"/>
      <w:r w:rsidRPr="0016703E">
        <w:rPr>
          <w:rFonts w:ascii="Century Gothic" w:eastAsia="Arial" w:hAnsi="Century Gothic" w:cs="Arial"/>
          <w:color w:val="000000"/>
          <w:sz w:val="24"/>
          <w:szCs w:val="24"/>
        </w:rPr>
        <w:t xml:space="preserve"> irritable </w:t>
      </w:r>
      <w:proofErr w:type="spellStart"/>
      <w:r w:rsidRPr="0016703E">
        <w:rPr>
          <w:rFonts w:ascii="Century Gothic" w:eastAsia="Arial" w:hAnsi="Century Gothic" w:cs="Arial"/>
          <w:color w:val="000000"/>
          <w:sz w:val="24"/>
          <w:szCs w:val="24"/>
        </w:rPr>
        <w:t>bowel</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syndrome</w:t>
      </w:r>
      <w:proofErr w:type="spellEnd"/>
      <w:r w:rsidRPr="0016703E">
        <w:rPr>
          <w:rFonts w:ascii="Century Gothic" w:eastAsia="Arial" w:hAnsi="Century Gothic" w:cs="Arial"/>
          <w:color w:val="000000"/>
          <w:sz w:val="24"/>
          <w:szCs w:val="24"/>
        </w:rPr>
        <w:t>: A meta-</w:t>
      </w:r>
      <w:proofErr w:type="spellStart"/>
      <w:r w:rsidRPr="0016703E">
        <w:rPr>
          <w:rFonts w:ascii="Century Gothic" w:eastAsia="Arial" w:hAnsi="Century Gothic" w:cs="Arial"/>
          <w:color w:val="000000"/>
          <w:sz w:val="24"/>
          <w:szCs w:val="24"/>
        </w:rPr>
        <w:t>analysis</w:t>
      </w:r>
      <w:proofErr w:type="spellEnd"/>
      <w:r w:rsidRPr="0016703E">
        <w:rPr>
          <w:rFonts w:ascii="Century Gothic" w:eastAsia="Arial" w:hAnsi="Century Gothic" w:cs="Arial"/>
          <w:color w:val="000000"/>
          <w:sz w:val="24"/>
          <w:szCs w:val="24"/>
        </w:rPr>
        <w:t xml:space="preserve">. Clin </w:t>
      </w:r>
      <w:proofErr w:type="spellStart"/>
      <w:r w:rsidRPr="0016703E">
        <w:rPr>
          <w:rFonts w:ascii="Century Gothic" w:eastAsia="Arial" w:hAnsi="Century Gothic" w:cs="Arial"/>
          <w:color w:val="000000"/>
          <w:sz w:val="24"/>
          <w:szCs w:val="24"/>
        </w:rPr>
        <w:t>Gastroenterol</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Hepatol</w:t>
      </w:r>
      <w:proofErr w:type="spellEnd"/>
      <w:r w:rsidRPr="0016703E">
        <w:rPr>
          <w:rFonts w:ascii="Century Gothic" w:eastAsia="Arial" w:hAnsi="Century Gothic" w:cs="Arial"/>
          <w:color w:val="000000"/>
          <w:sz w:val="24"/>
          <w:szCs w:val="24"/>
        </w:rPr>
        <w:t xml:space="preserve"> [Internet]. 2012;10(7):712-721.e4. Disponible en: </w:t>
      </w:r>
      <w:hyperlink r:id="rId16">
        <w:r w:rsidRPr="00620A4E">
          <w:rPr>
            <w:rFonts w:ascii="Century Gothic" w:eastAsia="Arial" w:hAnsi="Century Gothic" w:cs="Arial"/>
            <w:sz w:val="24"/>
            <w:szCs w:val="24"/>
          </w:rPr>
          <w:t>http://dx.doi.org/10.1016/j.cgh.2012.02.029</w:t>
        </w:r>
      </w:hyperlink>
    </w:p>
    <w:p w14:paraId="7360992B"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rPr>
      </w:pPr>
    </w:p>
    <w:p w14:paraId="261EFE79"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color w:val="000000"/>
          <w:sz w:val="24"/>
          <w:szCs w:val="24"/>
        </w:rPr>
        <w:t>Lovell</w:t>
      </w:r>
      <w:proofErr w:type="spellEnd"/>
      <w:r w:rsidRPr="0016703E">
        <w:rPr>
          <w:rFonts w:ascii="Century Gothic" w:eastAsia="Arial" w:hAnsi="Century Gothic" w:cs="Arial"/>
          <w:color w:val="000000"/>
          <w:sz w:val="24"/>
          <w:szCs w:val="24"/>
        </w:rPr>
        <w:t xml:space="preserve"> RM, Ford AC. </w:t>
      </w:r>
      <w:proofErr w:type="spellStart"/>
      <w:r w:rsidRPr="0016703E">
        <w:rPr>
          <w:rFonts w:ascii="Century Gothic" w:eastAsia="Arial" w:hAnsi="Century Gothic" w:cs="Arial"/>
          <w:color w:val="000000"/>
          <w:sz w:val="24"/>
          <w:szCs w:val="24"/>
        </w:rPr>
        <w:t>Effect</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of</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gender</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on</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prevalence</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of</w:t>
      </w:r>
      <w:proofErr w:type="spellEnd"/>
      <w:r w:rsidRPr="0016703E">
        <w:rPr>
          <w:rFonts w:ascii="Century Gothic" w:eastAsia="Arial" w:hAnsi="Century Gothic" w:cs="Arial"/>
          <w:color w:val="000000"/>
          <w:sz w:val="24"/>
          <w:szCs w:val="24"/>
        </w:rPr>
        <w:t xml:space="preserve"> irritable </w:t>
      </w:r>
      <w:proofErr w:type="spellStart"/>
      <w:r w:rsidRPr="0016703E">
        <w:rPr>
          <w:rFonts w:ascii="Century Gothic" w:eastAsia="Arial" w:hAnsi="Century Gothic" w:cs="Arial"/>
          <w:color w:val="000000"/>
          <w:sz w:val="24"/>
          <w:szCs w:val="24"/>
        </w:rPr>
        <w:t>bowel</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syndrome</w:t>
      </w:r>
      <w:proofErr w:type="spellEnd"/>
      <w:r w:rsidRPr="0016703E">
        <w:rPr>
          <w:rFonts w:ascii="Century Gothic" w:eastAsia="Arial" w:hAnsi="Century Gothic" w:cs="Arial"/>
          <w:color w:val="000000"/>
          <w:sz w:val="24"/>
          <w:szCs w:val="24"/>
        </w:rPr>
        <w:t xml:space="preserve"> in </w:t>
      </w:r>
      <w:proofErr w:type="spellStart"/>
      <w:r w:rsidRPr="0016703E">
        <w:rPr>
          <w:rFonts w:ascii="Century Gothic" w:eastAsia="Arial" w:hAnsi="Century Gothic" w:cs="Arial"/>
          <w:color w:val="000000"/>
          <w:sz w:val="24"/>
          <w:szCs w:val="24"/>
        </w:rPr>
        <w:t>the</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community</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Systematic</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review</w:t>
      </w:r>
      <w:proofErr w:type="spellEnd"/>
      <w:r w:rsidRPr="0016703E">
        <w:rPr>
          <w:rFonts w:ascii="Century Gothic" w:eastAsia="Arial" w:hAnsi="Century Gothic" w:cs="Arial"/>
          <w:color w:val="000000"/>
          <w:sz w:val="24"/>
          <w:szCs w:val="24"/>
        </w:rPr>
        <w:t xml:space="preserve"> and meta-</w:t>
      </w:r>
      <w:proofErr w:type="spellStart"/>
      <w:r w:rsidRPr="0016703E">
        <w:rPr>
          <w:rFonts w:ascii="Century Gothic" w:eastAsia="Arial" w:hAnsi="Century Gothic" w:cs="Arial"/>
          <w:color w:val="000000"/>
          <w:sz w:val="24"/>
          <w:szCs w:val="24"/>
        </w:rPr>
        <w:t>analysis</w:t>
      </w:r>
      <w:proofErr w:type="spellEnd"/>
      <w:r w:rsidRPr="0016703E">
        <w:rPr>
          <w:rFonts w:ascii="Century Gothic" w:eastAsia="Arial" w:hAnsi="Century Gothic" w:cs="Arial"/>
          <w:color w:val="000000"/>
          <w:sz w:val="24"/>
          <w:szCs w:val="24"/>
        </w:rPr>
        <w:t xml:space="preserve">. Am J </w:t>
      </w:r>
      <w:proofErr w:type="spellStart"/>
      <w:r w:rsidRPr="0016703E">
        <w:rPr>
          <w:rFonts w:ascii="Century Gothic" w:eastAsia="Arial" w:hAnsi="Century Gothic" w:cs="Arial"/>
          <w:color w:val="000000"/>
          <w:sz w:val="24"/>
          <w:szCs w:val="24"/>
        </w:rPr>
        <w:t>Gastroenterol</w:t>
      </w:r>
      <w:proofErr w:type="spellEnd"/>
      <w:r w:rsidRPr="0016703E">
        <w:rPr>
          <w:rFonts w:ascii="Century Gothic" w:eastAsia="Arial" w:hAnsi="Century Gothic" w:cs="Arial"/>
          <w:color w:val="000000"/>
          <w:sz w:val="24"/>
          <w:szCs w:val="24"/>
        </w:rPr>
        <w:t xml:space="preserve"> [Internet]. 2012 [citado el 16 de mayo de 2024];107(7):991–1000. Disponible en: </w:t>
      </w:r>
      <w:hyperlink r:id="rId17">
        <w:r w:rsidRPr="00620A4E">
          <w:rPr>
            <w:rFonts w:ascii="Century Gothic" w:eastAsia="Arial" w:hAnsi="Century Gothic" w:cs="Arial"/>
            <w:sz w:val="24"/>
            <w:szCs w:val="24"/>
          </w:rPr>
          <w:t>https://journals.lww.com/ajg/abstract/2012/07000/effect_of_gender_on_prevalence_of_irritable_bowel.9.aspx</w:t>
        </w:r>
      </w:hyperlink>
    </w:p>
    <w:p w14:paraId="0E1525DA"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color w:val="000000"/>
          <w:sz w:val="24"/>
          <w:szCs w:val="24"/>
        </w:rPr>
        <w:lastRenderedPageBreak/>
        <w:t>Longstreth</w:t>
      </w:r>
      <w:proofErr w:type="spellEnd"/>
      <w:r w:rsidRPr="0016703E">
        <w:rPr>
          <w:rFonts w:ascii="Century Gothic" w:eastAsia="Arial" w:hAnsi="Century Gothic" w:cs="Arial"/>
          <w:color w:val="000000"/>
          <w:sz w:val="24"/>
          <w:szCs w:val="24"/>
        </w:rPr>
        <w:t xml:space="preserve"> GF, Thompson WG, Chey WD, Houghton LA, </w:t>
      </w:r>
      <w:proofErr w:type="spellStart"/>
      <w:r w:rsidRPr="0016703E">
        <w:rPr>
          <w:rFonts w:ascii="Century Gothic" w:eastAsia="Arial" w:hAnsi="Century Gothic" w:cs="Arial"/>
          <w:color w:val="000000"/>
          <w:sz w:val="24"/>
          <w:szCs w:val="24"/>
        </w:rPr>
        <w:t>Mearin</w:t>
      </w:r>
      <w:proofErr w:type="spellEnd"/>
      <w:r w:rsidRPr="0016703E">
        <w:rPr>
          <w:rFonts w:ascii="Century Gothic" w:eastAsia="Arial" w:hAnsi="Century Gothic" w:cs="Arial"/>
          <w:color w:val="000000"/>
          <w:sz w:val="24"/>
          <w:szCs w:val="24"/>
        </w:rPr>
        <w:t xml:space="preserve"> F, </w:t>
      </w:r>
      <w:proofErr w:type="spellStart"/>
      <w:r w:rsidRPr="0016703E">
        <w:rPr>
          <w:rFonts w:ascii="Century Gothic" w:eastAsia="Arial" w:hAnsi="Century Gothic" w:cs="Arial"/>
          <w:color w:val="000000"/>
          <w:sz w:val="24"/>
          <w:szCs w:val="24"/>
        </w:rPr>
        <w:t>Spiller</w:t>
      </w:r>
      <w:proofErr w:type="spellEnd"/>
      <w:r w:rsidRPr="0016703E">
        <w:rPr>
          <w:rFonts w:ascii="Century Gothic" w:eastAsia="Arial" w:hAnsi="Century Gothic" w:cs="Arial"/>
          <w:color w:val="000000"/>
          <w:sz w:val="24"/>
          <w:szCs w:val="24"/>
        </w:rPr>
        <w:t xml:space="preserve"> RC. </w:t>
      </w:r>
      <w:proofErr w:type="spellStart"/>
      <w:r w:rsidRPr="0016703E">
        <w:rPr>
          <w:rFonts w:ascii="Century Gothic" w:eastAsia="Arial" w:hAnsi="Century Gothic" w:cs="Arial"/>
          <w:color w:val="000000"/>
          <w:sz w:val="24"/>
          <w:szCs w:val="24"/>
        </w:rPr>
        <w:t>Functional</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bowel</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disorders</w:t>
      </w:r>
      <w:proofErr w:type="spellEnd"/>
      <w:r w:rsidRPr="0016703E">
        <w:rPr>
          <w:rFonts w:ascii="Century Gothic" w:eastAsia="Arial" w:hAnsi="Century Gothic" w:cs="Arial"/>
          <w:color w:val="000000"/>
          <w:sz w:val="24"/>
          <w:szCs w:val="24"/>
        </w:rPr>
        <w:t xml:space="preserve">. </w:t>
      </w:r>
      <w:proofErr w:type="spellStart"/>
      <w:r w:rsidRPr="0016703E">
        <w:rPr>
          <w:rFonts w:ascii="Century Gothic" w:eastAsia="Arial" w:hAnsi="Century Gothic" w:cs="Arial"/>
          <w:color w:val="000000"/>
          <w:sz w:val="24"/>
          <w:szCs w:val="24"/>
        </w:rPr>
        <w:t>Gastroenterology</w:t>
      </w:r>
      <w:proofErr w:type="spellEnd"/>
      <w:r w:rsidRPr="0016703E">
        <w:rPr>
          <w:rFonts w:ascii="Century Gothic" w:eastAsia="Arial" w:hAnsi="Century Gothic" w:cs="Arial"/>
          <w:color w:val="000000"/>
          <w:sz w:val="24"/>
          <w:szCs w:val="24"/>
        </w:rPr>
        <w:t xml:space="preserve"> [Internet]. 2006 </w:t>
      </w:r>
      <w:r w:rsidRPr="00620A4E">
        <w:rPr>
          <w:rFonts w:ascii="Century Gothic" w:eastAsia="Arial" w:hAnsi="Century Gothic" w:cs="Arial"/>
          <w:sz w:val="24"/>
          <w:szCs w:val="24"/>
        </w:rPr>
        <w:t xml:space="preserve">[citado el 21 de mayo de 2024];130(5):1480–91. Disponible en: </w:t>
      </w:r>
      <w:hyperlink r:id="rId18">
        <w:r w:rsidRPr="00620A4E">
          <w:rPr>
            <w:rFonts w:ascii="Century Gothic" w:eastAsia="Arial" w:hAnsi="Century Gothic" w:cs="Arial"/>
            <w:sz w:val="24"/>
            <w:szCs w:val="24"/>
          </w:rPr>
          <w:t>https://pubmed.ncbi.nlm.nih.gov/16678561/</w:t>
        </w:r>
      </w:hyperlink>
    </w:p>
    <w:p w14:paraId="63CF72D0"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rPr>
      </w:pPr>
    </w:p>
    <w:p w14:paraId="5C59D105"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Chey WD, </w:t>
      </w:r>
      <w:proofErr w:type="spellStart"/>
      <w:r w:rsidRPr="0016703E">
        <w:rPr>
          <w:rFonts w:ascii="Century Gothic" w:eastAsia="Arial" w:hAnsi="Century Gothic" w:cs="Arial"/>
          <w:sz w:val="24"/>
          <w:szCs w:val="24"/>
        </w:rPr>
        <w:t>Kurlander</w:t>
      </w:r>
      <w:proofErr w:type="spellEnd"/>
      <w:r w:rsidRPr="0016703E">
        <w:rPr>
          <w:rFonts w:ascii="Century Gothic" w:eastAsia="Arial" w:hAnsi="Century Gothic" w:cs="Arial"/>
          <w:sz w:val="24"/>
          <w:szCs w:val="24"/>
        </w:rPr>
        <w:t xml:space="preserve"> J, </w:t>
      </w:r>
      <w:proofErr w:type="spellStart"/>
      <w:r w:rsidRPr="0016703E">
        <w:rPr>
          <w:rFonts w:ascii="Century Gothic" w:eastAsia="Arial" w:hAnsi="Century Gothic" w:cs="Arial"/>
          <w:sz w:val="24"/>
          <w:szCs w:val="24"/>
        </w:rPr>
        <w:t>Eswaran</w:t>
      </w:r>
      <w:proofErr w:type="spellEnd"/>
      <w:r w:rsidRPr="0016703E">
        <w:rPr>
          <w:rFonts w:ascii="Century Gothic" w:eastAsia="Arial" w:hAnsi="Century Gothic" w:cs="Arial"/>
          <w:sz w:val="24"/>
          <w:szCs w:val="24"/>
        </w:rPr>
        <w:t xml:space="preserve"> S. Irritable </w:t>
      </w:r>
      <w:proofErr w:type="spellStart"/>
      <w:r w:rsidRPr="0016703E">
        <w:rPr>
          <w:rFonts w:ascii="Century Gothic" w:eastAsia="Arial" w:hAnsi="Century Gothic" w:cs="Arial"/>
          <w:sz w:val="24"/>
          <w:szCs w:val="24"/>
        </w:rPr>
        <w:t>bowel</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syndrome</w:t>
      </w:r>
      <w:proofErr w:type="spellEnd"/>
      <w:r w:rsidRPr="0016703E">
        <w:rPr>
          <w:rFonts w:ascii="Century Gothic" w:eastAsia="Arial" w:hAnsi="Century Gothic" w:cs="Arial"/>
          <w:sz w:val="24"/>
          <w:szCs w:val="24"/>
        </w:rPr>
        <w:t xml:space="preserve">: A </w:t>
      </w:r>
      <w:proofErr w:type="spellStart"/>
      <w:r w:rsidRPr="0016703E">
        <w:rPr>
          <w:rFonts w:ascii="Century Gothic" w:eastAsia="Arial" w:hAnsi="Century Gothic" w:cs="Arial"/>
          <w:sz w:val="24"/>
          <w:szCs w:val="24"/>
        </w:rPr>
        <w:t>clinical</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review</w:t>
      </w:r>
      <w:proofErr w:type="spellEnd"/>
      <w:r w:rsidRPr="0016703E">
        <w:rPr>
          <w:rFonts w:ascii="Century Gothic" w:eastAsia="Arial" w:hAnsi="Century Gothic" w:cs="Arial"/>
          <w:sz w:val="24"/>
          <w:szCs w:val="24"/>
        </w:rPr>
        <w:t xml:space="preserve">. JAMA [Internet]. 2015 [citado el 21 de mayo de 2024];313(9):949. Disponible en: </w:t>
      </w:r>
      <w:hyperlink r:id="rId19">
        <w:r w:rsidRPr="00620A4E">
          <w:rPr>
            <w:rFonts w:ascii="Century Gothic" w:eastAsia="Arial" w:hAnsi="Century Gothic" w:cs="Arial"/>
            <w:sz w:val="24"/>
            <w:szCs w:val="24"/>
          </w:rPr>
          <w:t>https://jamanetwork.com/journals/jama/article-abstract/2174034</w:t>
        </w:r>
      </w:hyperlink>
    </w:p>
    <w:p w14:paraId="185817C5"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7CB488D3"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Valenzuela J, Alvarado J, Cohen H, </w:t>
      </w:r>
      <w:proofErr w:type="spellStart"/>
      <w:r w:rsidRPr="0016703E">
        <w:rPr>
          <w:rFonts w:ascii="Century Gothic" w:eastAsia="Arial" w:hAnsi="Century Gothic" w:cs="Arial"/>
          <w:sz w:val="24"/>
          <w:szCs w:val="24"/>
        </w:rPr>
        <w:t>Damiao</w:t>
      </w:r>
      <w:proofErr w:type="spellEnd"/>
      <w:r w:rsidRPr="0016703E">
        <w:rPr>
          <w:rFonts w:ascii="Century Gothic" w:eastAsia="Arial" w:hAnsi="Century Gothic" w:cs="Arial"/>
          <w:sz w:val="24"/>
          <w:szCs w:val="24"/>
        </w:rPr>
        <w:t xml:space="preserve"> A, </w:t>
      </w:r>
      <w:proofErr w:type="spellStart"/>
      <w:r w:rsidRPr="0016703E">
        <w:rPr>
          <w:rFonts w:ascii="Century Gothic" w:eastAsia="Arial" w:hAnsi="Century Gothic" w:cs="Arial"/>
          <w:sz w:val="24"/>
          <w:szCs w:val="24"/>
        </w:rPr>
        <w:t>Francisconi</w:t>
      </w:r>
      <w:proofErr w:type="spellEnd"/>
      <w:r w:rsidRPr="0016703E">
        <w:rPr>
          <w:rFonts w:ascii="Century Gothic" w:eastAsia="Arial" w:hAnsi="Century Gothic" w:cs="Arial"/>
          <w:sz w:val="24"/>
          <w:szCs w:val="24"/>
        </w:rPr>
        <w:t xml:space="preserve"> C, </w:t>
      </w:r>
      <w:proofErr w:type="spellStart"/>
      <w:r w:rsidRPr="0016703E">
        <w:rPr>
          <w:rFonts w:ascii="Century Gothic" w:eastAsia="Arial" w:hAnsi="Century Gothic" w:cs="Arial"/>
          <w:sz w:val="24"/>
          <w:szCs w:val="24"/>
        </w:rPr>
        <w:t>Frugone</w:t>
      </w:r>
      <w:proofErr w:type="spellEnd"/>
      <w:r w:rsidRPr="0016703E">
        <w:rPr>
          <w:rFonts w:ascii="Century Gothic" w:eastAsia="Arial" w:hAnsi="Century Gothic" w:cs="Arial"/>
          <w:sz w:val="24"/>
          <w:szCs w:val="24"/>
        </w:rPr>
        <w:t xml:space="preserve"> L, et al. Un consenso latinoamericano sobre el síndrome del intestino irritable. </w:t>
      </w:r>
      <w:proofErr w:type="spellStart"/>
      <w:r w:rsidRPr="0016703E">
        <w:rPr>
          <w:rFonts w:ascii="Century Gothic" w:eastAsia="Arial" w:hAnsi="Century Gothic" w:cs="Arial"/>
          <w:sz w:val="24"/>
          <w:szCs w:val="24"/>
        </w:rPr>
        <w:t>Gastroenterol</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Hepatol</w:t>
      </w:r>
      <w:proofErr w:type="spellEnd"/>
      <w:r w:rsidRPr="0016703E">
        <w:rPr>
          <w:rFonts w:ascii="Century Gothic" w:eastAsia="Arial" w:hAnsi="Century Gothic" w:cs="Arial"/>
          <w:sz w:val="24"/>
          <w:szCs w:val="24"/>
        </w:rPr>
        <w:t xml:space="preserve"> [Internet]. 2004;27(5):325–43. </w:t>
      </w:r>
      <w:r w:rsidRPr="00620A4E">
        <w:rPr>
          <w:rFonts w:ascii="Century Gothic" w:eastAsia="Arial" w:hAnsi="Century Gothic" w:cs="Arial"/>
          <w:sz w:val="24"/>
          <w:szCs w:val="24"/>
        </w:rPr>
        <w:t xml:space="preserve">Disponible en: </w:t>
      </w:r>
      <w:hyperlink r:id="rId20">
        <w:r w:rsidRPr="00620A4E">
          <w:rPr>
            <w:rFonts w:ascii="Century Gothic" w:eastAsia="Arial" w:hAnsi="Century Gothic" w:cs="Arial"/>
            <w:sz w:val="24"/>
            <w:szCs w:val="24"/>
          </w:rPr>
          <w:t>http://dx.doi.org/10.1016/s0210-5705(03)70470-1</w:t>
        </w:r>
      </w:hyperlink>
    </w:p>
    <w:p w14:paraId="7398322D"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34F208F4"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Manning AP, Thompson WG, Heaton KW, Morris AF. </w:t>
      </w:r>
      <w:proofErr w:type="spellStart"/>
      <w:r w:rsidRPr="0016703E">
        <w:rPr>
          <w:rFonts w:ascii="Century Gothic" w:eastAsia="Arial" w:hAnsi="Century Gothic" w:cs="Arial"/>
          <w:sz w:val="24"/>
          <w:szCs w:val="24"/>
        </w:rPr>
        <w:t>Towards</w:t>
      </w:r>
      <w:proofErr w:type="spellEnd"/>
      <w:r w:rsidRPr="0016703E">
        <w:rPr>
          <w:rFonts w:ascii="Century Gothic" w:eastAsia="Arial" w:hAnsi="Century Gothic" w:cs="Arial"/>
          <w:sz w:val="24"/>
          <w:szCs w:val="24"/>
        </w:rPr>
        <w:t xml:space="preserve"> positive diagnosis </w:t>
      </w:r>
      <w:proofErr w:type="spellStart"/>
      <w:r w:rsidRPr="0016703E">
        <w:rPr>
          <w:rFonts w:ascii="Century Gothic" w:eastAsia="Arial" w:hAnsi="Century Gothic" w:cs="Arial"/>
          <w:sz w:val="24"/>
          <w:szCs w:val="24"/>
        </w:rPr>
        <w:t>of</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the</w:t>
      </w:r>
      <w:proofErr w:type="spellEnd"/>
      <w:r w:rsidRPr="0016703E">
        <w:rPr>
          <w:rFonts w:ascii="Century Gothic" w:eastAsia="Arial" w:hAnsi="Century Gothic" w:cs="Arial"/>
          <w:sz w:val="24"/>
          <w:szCs w:val="24"/>
        </w:rPr>
        <w:t xml:space="preserve"> irritable </w:t>
      </w:r>
      <w:proofErr w:type="spellStart"/>
      <w:r w:rsidRPr="0016703E">
        <w:rPr>
          <w:rFonts w:ascii="Century Gothic" w:eastAsia="Arial" w:hAnsi="Century Gothic" w:cs="Arial"/>
          <w:sz w:val="24"/>
          <w:szCs w:val="24"/>
        </w:rPr>
        <w:t>bowel</w:t>
      </w:r>
      <w:proofErr w:type="spellEnd"/>
      <w:r w:rsidRPr="0016703E">
        <w:rPr>
          <w:rFonts w:ascii="Century Gothic" w:eastAsia="Arial" w:hAnsi="Century Gothic" w:cs="Arial"/>
          <w:sz w:val="24"/>
          <w:szCs w:val="24"/>
        </w:rPr>
        <w:t>. BMJ [Internet]. 1978;2(6138):653–4. Disp</w:t>
      </w:r>
      <w:r w:rsidRPr="00620A4E">
        <w:rPr>
          <w:rFonts w:ascii="Century Gothic" w:eastAsia="Arial" w:hAnsi="Century Gothic" w:cs="Arial"/>
          <w:sz w:val="24"/>
          <w:szCs w:val="24"/>
        </w:rPr>
        <w:t xml:space="preserve">onible en: </w:t>
      </w:r>
      <w:hyperlink r:id="rId21">
        <w:r w:rsidRPr="00620A4E">
          <w:rPr>
            <w:rFonts w:ascii="Century Gothic" w:eastAsia="Arial" w:hAnsi="Century Gothic" w:cs="Arial"/>
            <w:sz w:val="24"/>
            <w:szCs w:val="24"/>
          </w:rPr>
          <w:t>https://www.bmj.com/content/bmj/2/6138/653.full.pdf</w:t>
        </w:r>
      </w:hyperlink>
    </w:p>
    <w:p w14:paraId="4497CFB9"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444E4DAF"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Lewis SJ, Heaton KW. </w:t>
      </w:r>
      <w:proofErr w:type="spellStart"/>
      <w:r w:rsidRPr="0016703E">
        <w:rPr>
          <w:rFonts w:ascii="Century Gothic" w:eastAsia="Arial" w:hAnsi="Century Gothic" w:cs="Arial"/>
          <w:sz w:val="24"/>
          <w:szCs w:val="24"/>
        </w:rPr>
        <w:t>Stool</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form</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scale</w:t>
      </w:r>
      <w:proofErr w:type="spellEnd"/>
      <w:r w:rsidRPr="0016703E">
        <w:rPr>
          <w:rFonts w:ascii="Century Gothic" w:eastAsia="Arial" w:hAnsi="Century Gothic" w:cs="Arial"/>
          <w:sz w:val="24"/>
          <w:szCs w:val="24"/>
        </w:rPr>
        <w:t xml:space="preserve"> as a </w:t>
      </w:r>
      <w:proofErr w:type="spellStart"/>
      <w:r w:rsidRPr="0016703E">
        <w:rPr>
          <w:rFonts w:ascii="Century Gothic" w:eastAsia="Arial" w:hAnsi="Century Gothic" w:cs="Arial"/>
          <w:sz w:val="24"/>
          <w:szCs w:val="24"/>
        </w:rPr>
        <w:t>useful</w:t>
      </w:r>
      <w:proofErr w:type="spellEnd"/>
      <w:r w:rsidRPr="0016703E">
        <w:rPr>
          <w:rFonts w:ascii="Century Gothic" w:eastAsia="Arial" w:hAnsi="Century Gothic" w:cs="Arial"/>
          <w:sz w:val="24"/>
          <w:szCs w:val="24"/>
        </w:rPr>
        <w:t xml:space="preserve"> guide </w:t>
      </w:r>
      <w:proofErr w:type="spellStart"/>
      <w:r w:rsidRPr="0016703E">
        <w:rPr>
          <w:rFonts w:ascii="Century Gothic" w:eastAsia="Arial" w:hAnsi="Century Gothic" w:cs="Arial"/>
          <w:sz w:val="24"/>
          <w:szCs w:val="24"/>
        </w:rPr>
        <w:t>to</w:t>
      </w:r>
      <w:proofErr w:type="spellEnd"/>
      <w:r w:rsidRPr="0016703E">
        <w:rPr>
          <w:rFonts w:ascii="Century Gothic" w:eastAsia="Arial" w:hAnsi="Century Gothic" w:cs="Arial"/>
          <w:sz w:val="24"/>
          <w:szCs w:val="24"/>
        </w:rPr>
        <w:t xml:space="preserve"> intestinal </w:t>
      </w:r>
      <w:proofErr w:type="spellStart"/>
      <w:r w:rsidRPr="0016703E">
        <w:rPr>
          <w:rFonts w:ascii="Century Gothic" w:eastAsia="Arial" w:hAnsi="Century Gothic" w:cs="Arial"/>
          <w:sz w:val="24"/>
          <w:szCs w:val="24"/>
        </w:rPr>
        <w:t>transit</w:t>
      </w:r>
      <w:proofErr w:type="spellEnd"/>
      <w:r w:rsidRPr="0016703E">
        <w:rPr>
          <w:rFonts w:ascii="Century Gothic" w:eastAsia="Arial" w:hAnsi="Century Gothic" w:cs="Arial"/>
          <w:sz w:val="24"/>
          <w:szCs w:val="24"/>
        </w:rPr>
        <w:t xml:space="preserve"> time. </w:t>
      </w:r>
      <w:proofErr w:type="spellStart"/>
      <w:r w:rsidRPr="0016703E">
        <w:rPr>
          <w:rFonts w:ascii="Century Gothic" w:eastAsia="Arial" w:hAnsi="Century Gothic" w:cs="Arial"/>
          <w:sz w:val="24"/>
          <w:szCs w:val="24"/>
        </w:rPr>
        <w:t>Scand</w:t>
      </w:r>
      <w:proofErr w:type="spellEnd"/>
      <w:r w:rsidRPr="0016703E">
        <w:rPr>
          <w:rFonts w:ascii="Century Gothic" w:eastAsia="Arial" w:hAnsi="Century Gothic" w:cs="Arial"/>
          <w:sz w:val="24"/>
          <w:szCs w:val="24"/>
        </w:rPr>
        <w:t xml:space="preserve"> J </w:t>
      </w:r>
      <w:proofErr w:type="spellStart"/>
      <w:r w:rsidRPr="0016703E">
        <w:rPr>
          <w:rFonts w:ascii="Century Gothic" w:eastAsia="Arial" w:hAnsi="Century Gothic" w:cs="Arial"/>
          <w:sz w:val="24"/>
          <w:szCs w:val="24"/>
        </w:rPr>
        <w:t>Gastroenterol</w:t>
      </w:r>
      <w:proofErr w:type="spellEnd"/>
      <w:r w:rsidRPr="0016703E">
        <w:rPr>
          <w:rFonts w:ascii="Century Gothic" w:eastAsia="Arial" w:hAnsi="Century Gothic" w:cs="Arial"/>
          <w:sz w:val="24"/>
          <w:szCs w:val="24"/>
        </w:rPr>
        <w:t xml:space="preserve"> [Internet]. 1997;32(9):920–4. D</w:t>
      </w:r>
      <w:r w:rsidRPr="00620A4E">
        <w:rPr>
          <w:rFonts w:ascii="Century Gothic" w:eastAsia="Arial" w:hAnsi="Century Gothic" w:cs="Arial"/>
          <w:sz w:val="24"/>
          <w:szCs w:val="24"/>
        </w:rPr>
        <w:t>isponible en:</w:t>
      </w:r>
      <w:hyperlink r:id="rId22">
        <w:r w:rsidRPr="00620A4E">
          <w:rPr>
            <w:rFonts w:ascii="Century Gothic" w:eastAsia="Arial" w:hAnsi="Century Gothic" w:cs="Arial"/>
            <w:sz w:val="24"/>
            <w:szCs w:val="24"/>
          </w:rPr>
          <w:t xml:space="preserve"> </w:t>
        </w:r>
      </w:hyperlink>
      <w:hyperlink r:id="rId23">
        <w:r w:rsidRPr="00620A4E">
          <w:rPr>
            <w:rFonts w:ascii="Century Gothic" w:eastAsia="Arial" w:hAnsi="Century Gothic" w:cs="Arial"/>
            <w:sz w:val="24"/>
            <w:szCs w:val="24"/>
          </w:rPr>
          <w:t>http://dx.doi.org/10.3109/0036552970901120</w:t>
        </w:r>
      </w:hyperlink>
    </w:p>
    <w:p w14:paraId="5047E3AB" w14:textId="77777777" w:rsidR="00620A4E" w:rsidRPr="0016703E" w:rsidRDefault="00620A4E" w:rsidP="00620A4E">
      <w:pPr>
        <w:spacing w:after="0" w:line="240" w:lineRule="auto"/>
        <w:jc w:val="both"/>
        <w:rPr>
          <w:rFonts w:ascii="Century Gothic" w:eastAsia="Arial" w:hAnsi="Century Gothic" w:cs="Arial"/>
          <w:sz w:val="24"/>
          <w:szCs w:val="24"/>
        </w:rPr>
      </w:pPr>
    </w:p>
    <w:p w14:paraId="0B0712A3"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Francis CY, Morris J, </w:t>
      </w:r>
      <w:proofErr w:type="spellStart"/>
      <w:r w:rsidRPr="0016703E">
        <w:rPr>
          <w:rFonts w:ascii="Century Gothic" w:eastAsia="Arial" w:hAnsi="Century Gothic" w:cs="Arial"/>
          <w:sz w:val="24"/>
          <w:szCs w:val="24"/>
          <w:highlight w:val="white"/>
        </w:rPr>
        <w:t>Whorwell</w:t>
      </w:r>
      <w:proofErr w:type="spellEnd"/>
      <w:r w:rsidRPr="0016703E">
        <w:rPr>
          <w:rFonts w:ascii="Century Gothic" w:eastAsia="Arial" w:hAnsi="Century Gothic" w:cs="Arial"/>
          <w:sz w:val="24"/>
          <w:szCs w:val="24"/>
          <w:highlight w:val="white"/>
        </w:rPr>
        <w:t xml:space="preserve"> PJ.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severity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scoring</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system</w:t>
      </w:r>
      <w:proofErr w:type="spellEnd"/>
      <w:r w:rsidRPr="0016703E">
        <w:rPr>
          <w:rFonts w:ascii="Century Gothic" w:eastAsia="Arial" w:hAnsi="Century Gothic" w:cs="Arial"/>
          <w:sz w:val="24"/>
          <w:szCs w:val="24"/>
          <w:highlight w:val="white"/>
        </w:rPr>
        <w:t xml:space="preserve">: a simple </w:t>
      </w:r>
      <w:proofErr w:type="spellStart"/>
      <w:r w:rsidRPr="0016703E">
        <w:rPr>
          <w:rFonts w:ascii="Century Gothic" w:eastAsia="Arial" w:hAnsi="Century Gothic" w:cs="Arial"/>
          <w:sz w:val="24"/>
          <w:szCs w:val="24"/>
          <w:highlight w:val="white"/>
        </w:rPr>
        <w:t>method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monitoring</w:t>
      </w:r>
      <w:proofErr w:type="spellEnd"/>
      <w:r w:rsidRPr="0016703E">
        <w:rPr>
          <w:rFonts w:ascii="Century Gothic" w:eastAsia="Arial" w:hAnsi="Century Gothic" w:cs="Arial"/>
          <w:sz w:val="24"/>
          <w:szCs w:val="24"/>
          <w:highlight w:val="white"/>
        </w:rPr>
        <w:t xml:space="preserve">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syndrome</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its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progress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Aliment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Pharmacol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w:t>
      </w:r>
      <w:proofErr w:type="spellEnd"/>
      <w:r w:rsidRPr="0016703E">
        <w:rPr>
          <w:rFonts w:ascii="Century Gothic" w:eastAsia="Arial" w:hAnsi="Century Gothic" w:cs="Arial"/>
          <w:sz w:val="24"/>
          <w:szCs w:val="24"/>
          <w:highlight w:val="white"/>
        </w:rPr>
        <w:t xml:space="preserve"> [Internet]. 1997;11(2):395–402. Disponible en: </w:t>
      </w:r>
      <w:hyperlink r:id="rId24">
        <w:r w:rsidRPr="00620A4E">
          <w:rPr>
            <w:rFonts w:ascii="Century Gothic" w:eastAsia="Arial" w:hAnsi="Century Gothic" w:cs="Arial"/>
            <w:sz w:val="24"/>
            <w:szCs w:val="24"/>
            <w:highlight w:val="white"/>
          </w:rPr>
          <w:t>http://dx.doi.org/10.1046/j.1365-2036.1997.142318000.x</w:t>
        </w:r>
      </w:hyperlink>
    </w:p>
    <w:p w14:paraId="7888EFEA" w14:textId="77777777" w:rsidR="00620A4E" w:rsidRPr="0016703E" w:rsidRDefault="00620A4E" w:rsidP="00620A4E">
      <w:pPr>
        <w:spacing w:after="0" w:line="240" w:lineRule="auto"/>
        <w:jc w:val="both"/>
        <w:rPr>
          <w:rFonts w:ascii="Century Gothic" w:eastAsia="Arial" w:hAnsi="Century Gothic" w:cs="Arial"/>
          <w:sz w:val="24"/>
          <w:szCs w:val="24"/>
        </w:rPr>
      </w:pPr>
    </w:p>
    <w:p w14:paraId="2962A573"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Almansa C, García-Sánchez R, Barceló M, Díaz-Rubio M, Rey E. </w:t>
      </w:r>
      <w:proofErr w:type="spellStart"/>
      <w:r w:rsidRPr="0016703E">
        <w:rPr>
          <w:rFonts w:ascii="Century Gothic" w:eastAsia="Arial" w:hAnsi="Century Gothic" w:cs="Arial"/>
          <w:sz w:val="24"/>
          <w:szCs w:val="24"/>
          <w:highlight w:val="white"/>
        </w:rPr>
        <w:t>Translation</w:t>
      </w:r>
      <w:proofErr w:type="spellEnd"/>
      <w:r w:rsidRPr="0016703E">
        <w:rPr>
          <w:rFonts w:ascii="Century Gothic" w:eastAsia="Arial" w:hAnsi="Century Gothic" w:cs="Arial"/>
          <w:sz w:val="24"/>
          <w:szCs w:val="24"/>
          <w:highlight w:val="white"/>
        </w:rPr>
        <w:t xml:space="preserve">, cultural </w:t>
      </w:r>
      <w:proofErr w:type="spellStart"/>
      <w:r w:rsidRPr="0016703E">
        <w:rPr>
          <w:rFonts w:ascii="Century Gothic" w:eastAsia="Arial" w:hAnsi="Century Gothic" w:cs="Arial"/>
          <w:sz w:val="24"/>
          <w:szCs w:val="24"/>
          <w:highlight w:val="white"/>
        </w:rPr>
        <w:t>adaptation</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validation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Spanish</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version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Irritable Bowel Syndrome Severity Score. </w:t>
      </w:r>
      <w:proofErr w:type="spellStart"/>
      <w:r w:rsidRPr="0016703E">
        <w:rPr>
          <w:rFonts w:ascii="Century Gothic" w:eastAsia="Arial" w:hAnsi="Century Gothic" w:cs="Arial"/>
          <w:sz w:val="24"/>
          <w:szCs w:val="24"/>
          <w:highlight w:val="white"/>
        </w:rPr>
        <w:t>Rev</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Esp</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Enferm</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Dig</w:t>
      </w:r>
      <w:proofErr w:type="spellEnd"/>
      <w:r w:rsidRPr="0016703E">
        <w:rPr>
          <w:rFonts w:ascii="Century Gothic" w:eastAsia="Arial" w:hAnsi="Century Gothic" w:cs="Arial"/>
          <w:sz w:val="24"/>
          <w:szCs w:val="24"/>
          <w:highlight w:val="white"/>
        </w:rPr>
        <w:t xml:space="preserve"> [Internet]. 2011 [citado el 22 de mayo de 2024];103(12):612–8. Disponible en: </w:t>
      </w:r>
      <w:hyperlink r:id="rId25">
        <w:r w:rsidRPr="00620A4E">
          <w:rPr>
            <w:rFonts w:ascii="Century Gothic" w:eastAsia="Arial" w:hAnsi="Century Gothic" w:cs="Arial"/>
            <w:sz w:val="24"/>
            <w:szCs w:val="24"/>
            <w:highlight w:val="white"/>
          </w:rPr>
          <w:t>https://scielo.isciii.es/scielo.php?script=sci_arttext&amp;pid=S1130-01082011001200002&amp;lng=en&amp;nrm=iso&amp;tlng=en</w:t>
        </w:r>
      </w:hyperlink>
    </w:p>
    <w:p w14:paraId="356A26F1" w14:textId="77777777" w:rsidR="00620A4E" w:rsidRPr="0016703E" w:rsidRDefault="00620A4E" w:rsidP="00620A4E">
      <w:pPr>
        <w:spacing w:after="0" w:line="240" w:lineRule="auto"/>
        <w:jc w:val="both"/>
        <w:rPr>
          <w:rFonts w:ascii="Century Gothic" w:eastAsia="Arial" w:hAnsi="Century Gothic" w:cs="Arial"/>
          <w:sz w:val="24"/>
          <w:szCs w:val="24"/>
          <w:highlight w:val="white"/>
        </w:rPr>
      </w:pPr>
    </w:p>
    <w:p w14:paraId="4871E306"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Blake MR, </w:t>
      </w:r>
      <w:proofErr w:type="spellStart"/>
      <w:r w:rsidRPr="0016703E">
        <w:rPr>
          <w:rFonts w:ascii="Century Gothic" w:eastAsia="Arial" w:hAnsi="Century Gothic" w:cs="Arial"/>
          <w:sz w:val="24"/>
          <w:szCs w:val="24"/>
          <w:highlight w:val="white"/>
        </w:rPr>
        <w:t>Raker</w:t>
      </w:r>
      <w:proofErr w:type="spellEnd"/>
      <w:r w:rsidRPr="0016703E">
        <w:rPr>
          <w:rFonts w:ascii="Century Gothic" w:eastAsia="Arial" w:hAnsi="Century Gothic" w:cs="Arial"/>
          <w:sz w:val="24"/>
          <w:szCs w:val="24"/>
          <w:highlight w:val="white"/>
        </w:rPr>
        <w:t xml:space="preserve"> JM, </w:t>
      </w:r>
      <w:proofErr w:type="spellStart"/>
      <w:r w:rsidRPr="0016703E">
        <w:rPr>
          <w:rFonts w:ascii="Century Gothic" w:eastAsia="Arial" w:hAnsi="Century Gothic" w:cs="Arial"/>
          <w:sz w:val="24"/>
          <w:szCs w:val="24"/>
          <w:highlight w:val="white"/>
        </w:rPr>
        <w:t>Whelan</w:t>
      </w:r>
      <w:proofErr w:type="spellEnd"/>
      <w:r w:rsidRPr="0016703E">
        <w:rPr>
          <w:rFonts w:ascii="Century Gothic" w:eastAsia="Arial" w:hAnsi="Century Gothic" w:cs="Arial"/>
          <w:sz w:val="24"/>
          <w:szCs w:val="24"/>
          <w:highlight w:val="white"/>
        </w:rPr>
        <w:t xml:space="preserve"> K. </w:t>
      </w:r>
      <w:proofErr w:type="spellStart"/>
      <w:r w:rsidRPr="0016703E">
        <w:rPr>
          <w:rFonts w:ascii="Century Gothic" w:eastAsia="Arial" w:hAnsi="Century Gothic" w:cs="Arial"/>
          <w:sz w:val="24"/>
          <w:szCs w:val="24"/>
          <w:highlight w:val="white"/>
        </w:rPr>
        <w:t>Validity</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reliability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Bristol </w:t>
      </w:r>
      <w:proofErr w:type="spellStart"/>
      <w:r w:rsidRPr="0016703E">
        <w:rPr>
          <w:rFonts w:ascii="Century Gothic" w:eastAsia="Arial" w:hAnsi="Century Gothic" w:cs="Arial"/>
          <w:sz w:val="24"/>
          <w:szCs w:val="24"/>
          <w:highlight w:val="white"/>
        </w:rPr>
        <w:t>Stool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Form</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Scale</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healthy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adults</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patients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with</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diarrhoea</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predominant</w:t>
      </w:r>
      <w:proofErr w:type="spellEnd"/>
      <w:r w:rsidRPr="0016703E">
        <w:rPr>
          <w:rFonts w:ascii="Century Gothic" w:eastAsia="Arial" w:hAnsi="Century Gothic" w:cs="Arial"/>
          <w:sz w:val="24"/>
          <w:szCs w:val="24"/>
          <w:highlight w:val="white"/>
        </w:rPr>
        <w:t xml:space="preserve"> </w:t>
      </w:r>
      <w:r w:rsidRPr="0016703E">
        <w:rPr>
          <w:rFonts w:ascii="Century Gothic" w:eastAsia="Arial" w:hAnsi="Century Gothic" w:cs="Arial"/>
          <w:sz w:val="24"/>
          <w:szCs w:val="24"/>
          <w:highlight w:val="white"/>
        </w:rPr>
        <w:lastRenderedPageBreak/>
        <w:t xml:space="preserve">irritable bowel syndrome. </w:t>
      </w:r>
      <w:proofErr w:type="spellStart"/>
      <w:r w:rsidRPr="0016703E">
        <w:rPr>
          <w:rFonts w:ascii="Century Gothic" w:eastAsia="Arial" w:hAnsi="Century Gothic" w:cs="Arial"/>
          <w:sz w:val="24"/>
          <w:szCs w:val="24"/>
          <w:highlight w:val="white"/>
        </w:rPr>
        <w:t>Aliment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Pharmacol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w:t>
      </w:r>
      <w:proofErr w:type="spellEnd"/>
      <w:r w:rsidRPr="0016703E">
        <w:rPr>
          <w:rFonts w:ascii="Century Gothic" w:eastAsia="Arial" w:hAnsi="Century Gothic" w:cs="Arial"/>
          <w:sz w:val="24"/>
          <w:szCs w:val="24"/>
          <w:highlight w:val="white"/>
        </w:rPr>
        <w:t xml:space="preserve"> [Internet]. 2016;44(7):693</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703. Disponible en:</w:t>
      </w:r>
      <w:r w:rsidRPr="008B401B">
        <w:rPr>
          <w:rFonts w:ascii="Century Gothic" w:eastAsia="Arial" w:hAnsi="Century Gothic" w:cs="Arial"/>
          <w:sz w:val="24"/>
          <w:szCs w:val="24"/>
          <w:highlight w:val="white"/>
        </w:rPr>
        <w:t xml:space="preserve"> </w:t>
      </w:r>
      <w:hyperlink r:id="rId26">
        <w:r w:rsidRPr="008B401B">
          <w:rPr>
            <w:rFonts w:ascii="Century Gothic" w:eastAsia="Arial" w:hAnsi="Century Gothic" w:cs="Arial"/>
            <w:sz w:val="24"/>
            <w:szCs w:val="24"/>
            <w:highlight w:val="white"/>
          </w:rPr>
          <w:t>http://dx.doi.org/10.1111/apt.13746</w:t>
        </w:r>
      </w:hyperlink>
    </w:p>
    <w:p w14:paraId="748BDBD6"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541F4A80"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Johanson JF, </w:t>
      </w:r>
      <w:proofErr w:type="spellStart"/>
      <w:r w:rsidRPr="0016703E">
        <w:rPr>
          <w:rFonts w:ascii="Century Gothic" w:eastAsia="Arial" w:hAnsi="Century Gothic" w:cs="Arial"/>
          <w:sz w:val="24"/>
          <w:szCs w:val="24"/>
          <w:highlight w:val="white"/>
        </w:rPr>
        <w:t>Kralstein</w:t>
      </w:r>
      <w:proofErr w:type="spellEnd"/>
      <w:r w:rsidRPr="0016703E">
        <w:rPr>
          <w:rFonts w:ascii="Century Gothic" w:eastAsia="Arial" w:hAnsi="Century Gothic" w:cs="Arial"/>
          <w:sz w:val="24"/>
          <w:szCs w:val="24"/>
          <w:highlight w:val="white"/>
        </w:rPr>
        <w:t xml:space="preserve"> J.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survey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patient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perspective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Aliment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Pharmacol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w:t>
      </w:r>
      <w:proofErr w:type="spellEnd"/>
      <w:r w:rsidRPr="0016703E">
        <w:rPr>
          <w:rFonts w:ascii="Century Gothic" w:eastAsia="Arial" w:hAnsi="Century Gothic" w:cs="Arial"/>
          <w:sz w:val="24"/>
          <w:szCs w:val="24"/>
          <w:highlight w:val="white"/>
        </w:rPr>
        <w:t xml:space="preserve"> [Internet]. 2007;25(5):599–608. Disponible en:</w:t>
      </w:r>
      <w:r w:rsidRPr="008B401B">
        <w:rPr>
          <w:rFonts w:ascii="Century Gothic" w:eastAsia="Arial" w:hAnsi="Century Gothic" w:cs="Arial"/>
          <w:sz w:val="24"/>
          <w:szCs w:val="24"/>
          <w:highlight w:val="white"/>
        </w:rPr>
        <w:t xml:space="preserve"> </w:t>
      </w:r>
      <w:hyperlink r:id="rId27">
        <w:r w:rsidRPr="008B401B">
          <w:rPr>
            <w:rFonts w:ascii="Century Gothic" w:eastAsia="Arial" w:hAnsi="Century Gothic" w:cs="Arial"/>
            <w:sz w:val="24"/>
            <w:szCs w:val="24"/>
            <w:highlight w:val="white"/>
          </w:rPr>
          <w:t>http://dx.doi.org/10.1111/j.1365-2036.2006.03238.x</w:t>
        </w:r>
      </w:hyperlink>
    </w:p>
    <w:p w14:paraId="10BCFCFC"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highlight w:val="white"/>
        </w:rPr>
      </w:pPr>
    </w:p>
    <w:p w14:paraId="4F79EADD"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Pontet</w:t>
      </w:r>
      <w:proofErr w:type="spellEnd"/>
      <w:r w:rsidRPr="0016703E">
        <w:rPr>
          <w:rFonts w:ascii="Century Gothic" w:eastAsia="Arial" w:hAnsi="Century Gothic" w:cs="Arial"/>
          <w:sz w:val="24"/>
          <w:szCs w:val="24"/>
          <w:highlight w:val="white"/>
        </w:rPr>
        <w:t xml:space="preserve"> Y, Olano C. Prevalencia de síndrome de intestino irritable en América Latina. </w:t>
      </w:r>
      <w:proofErr w:type="spellStart"/>
      <w:r w:rsidRPr="0016703E">
        <w:rPr>
          <w:rFonts w:ascii="Century Gothic" w:eastAsia="Arial" w:hAnsi="Century Gothic" w:cs="Arial"/>
          <w:sz w:val="24"/>
          <w:szCs w:val="24"/>
          <w:highlight w:val="white"/>
        </w:rPr>
        <w:t>Rev</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Peru</w:t>
      </w:r>
      <w:proofErr w:type="spellEnd"/>
      <w:r w:rsidRPr="0016703E">
        <w:rPr>
          <w:rFonts w:ascii="Century Gothic" w:eastAsia="Arial" w:hAnsi="Century Gothic" w:cs="Arial"/>
          <w:sz w:val="24"/>
          <w:szCs w:val="24"/>
          <w:highlight w:val="white"/>
        </w:rPr>
        <w:t xml:space="preserve"> [Internet]. 2021 [citado el 22 de mayo de 2024];41(3):144. Disponible en: </w:t>
      </w:r>
      <w:hyperlink r:id="rId28">
        <w:r w:rsidRPr="008B401B">
          <w:rPr>
            <w:rFonts w:ascii="Century Gothic" w:eastAsia="Arial" w:hAnsi="Century Gothic" w:cs="Arial"/>
            <w:sz w:val="24"/>
            <w:szCs w:val="24"/>
            <w:highlight w:val="white"/>
          </w:rPr>
          <w:t>http://www.scielo.org.pe/scielo.php?script=sci_arttext&amp;pid=S1022-51292021000300144</w:t>
        </w:r>
      </w:hyperlink>
    </w:p>
    <w:p w14:paraId="2A215BD8"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1333FC60"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Simren</w:t>
      </w:r>
      <w:proofErr w:type="spellEnd"/>
      <w:r w:rsidRPr="0016703E">
        <w:rPr>
          <w:rFonts w:ascii="Century Gothic" w:eastAsia="Arial" w:hAnsi="Century Gothic" w:cs="Arial"/>
          <w:sz w:val="24"/>
          <w:szCs w:val="24"/>
          <w:highlight w:val="white"/>
        </w:rPr>
        <w:t xml:space="preserve"> M, </w:t>
      </w:r>
      <w:proofErr w:type="spellStart"/>
      <w:r w:rsidRPr="0016703E">
        <w:rPr>
          <w:rFonts w:ascii="Century Gothic" w:eastAsia="Arial" w:hAnsi="Century Gothic" w:cs="Arial"/>
          <w:sz w:val="24"/>
          <w:szCs w:val="24"/>
          <w:highlight w:val="white"/>
        </w:rPr>
        <w:t>Palsson</w:t>
      </w:r>
      <w:proofErr w:type="spellEnd"/>
      <w:r w:rsidRPr="0016703E">
        <w:rPr>
          <w:rFonts w:ascii="Century Gothic" w:eastAsia="Arial" w:hAnsi="Century Gothic" w:cs="Arial"/>
          <w:sz w:val="24"/>
          <w:szCs w:val="24"/>
          <w:highlight w:val="white"/>
        </w:rPr>
        <w:t xml:space="preserve"> OS, Whitehead WE. </w:t>
      </w:r>
      <w:proofErr w:type="spellStart"/>
      <w:r w:rsidRPr="0016703E">
        <w:rPr>
          <w:rFonts w:ascii="Century Gothic" w:eastAsia="Arial" w:hAnsi="Century Gothic" w:cs="Arial"/>
          <w:sz w:val="24"/>
          <w:szCs w:val="24"/>
          <w:highlight w:val="white"/>
        </w:rPr>
        <w:t>Update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on</w:t>
      </w:r>
      <w:proofErr w:type="spellEnd"/>
      <w:r w:rsidRPr="0016703E">
        <w:rPr>
          <w:rFonts w:ascii="Century Gothic" w:eastAsia="Arial" w:hAnsi="Century Gothic" w:cs="Arial"/>
          <w:sz w:val="24"/>
          <w:szCs w:val="24"/>
          <w:highlight w:val="white"/>
        </w:rPr>
        <w:t xml:space="preserve"> Rome IV </w:t>
      </w:r>
      <w:proofErr w:type="spellStart"/>
      <w:r w:rsidRPr="0016703E">
        <w:rPr>
          <w:rFonts w:ascii="Century Gothic" w:eastAsia="Arial" w:hAnsi="Century Gothic" w:cs="Arial"/>
          <w:sz w:val="24"/>
          <w:szCs w:val="24"/>
          <w:highlight w:val="white"/>
        </w:rPr>
        <w:t>criteria</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colorectal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disorders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Implications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clinical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practice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Curr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Rep</w:t>
      </w:r>
      <w:proofErr w:type="spellEnd"/>
      <w:r w:rsidRPr="0016703E">
        <w:rPr>
          <w:rFonts w:ascii="Century Gothic" w:eastAsia="Arial" w:hAnsi="Century Gothic" w:cs="Arial"/>
          <w:sz w:val="24"/>
          <w:szCs w:val="24"/>
          <w:highlight w:val="white"/>
        </w:rPr>
        <w:t xml:space="preserve"> [Internet]. 2017 [citado el 22 de mayo de 2024];19(4). Disponible en: </w:t>
      </w:r>
      <w:hyperlink r:id="rId29">
        <w:r w:rsidRPr="008B401B">
          <w:rPr>
            <w:rFonts w:ascii="Century Gothic" w:eastAsia="Arial" w:hAnsi="Century Gothic" w:cs="Arial"/>
            <w:sz w:val="24"/>
            <w:szCs w:val="24"/>
            <w:highlight w:val="white"/>
          </w:rPr>
          <w:t>https://pubmed.ncbi.nlm.nih.gov/28374308/</w:t>
        </w:r>
      </w:hyperlink>
    </w:p>
    <w:p w14:paraId="24876DD2"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4C65AB6B"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Lacy BE, </w:t>
      </w:r>
      <w:proofErr w:type="spellStart"/>
      <w:r w:rsidRPr="0016703E">
        <w:rPr>
          <w:rFonts w:ascii="Century Gothic" w:eastAsia="Arial" w:hAnsi="Century Gothic" w:cs="Arial"/>
          <w:sz w:val="24"/>
          <w:szCs w:val="24"/>
          <w:highlight w:val="white"/>
        </w:rPr>
        <w:t>Mearin</w:t>
      </w:r>
      <w:proofErr w:type="spellEnd"/>
      <w:r w:rsidRPr="0016703E">
        <w:rPr>
          <w:rFonts w:ascii="Century Gothic" w:eastAsia="Arial" w:hAnsi="Century Gothic" w:cs="Arial"/>
          <w:sz w:val="24"/>
          <w:szCs w:val="24"/>
          <w:highlight w:val="white"/>
        </w:rPr>
        <w:t xml:space="preserve"> F, Chang L, Chey WD, Lembo AJ, </w:t>
      </w:r>
      <w:proofErr w:type="spellStart"/>
      <w:r w:rsidRPr="0016703E">
        <w:rPr>
          <w:rFonts w:ascii="Century Gothic" w:eastAsia="Arial" w:hAnsi="Century Gothic" w:cs="Arial"/>
          <w:sz w:val="24"/>
          <w:szCs w:val="24"/>
          <w:highlight w:val="white"/>
        </w:rPr>
        <w:t>Simren</w:t>
      </w:r>
      <w:proofErr w:type="spellEnd"/>
      <w:r w:rsidRPr="0016703E">
        <w:rPr>
          <w:rFonts w:ascii="Century Gothic" w:eastAsia="Arial" w:hAnsi="Century Gothic" w:cs="Arial"/>
          <w:sz w:val="24"/>
          <w:szCs w:val="24"/>
          <w:highlight w:val="white"/>
        </w:rPr>
        <w:t xml:space="preserve"> M, et al.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disorders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Gastroenterology</w:t>
      </w:r>
      <w:proofErr w:type="spellEnd"/>
      <w:r w:rsidRPr="0016703E">
        <w:rPr>
          <w:rFonts w:ascii="Century Gothic" w:eastAsia="Arial" w:hAnsi="Century Gothic" w:cs="Arial"/>
          <w:sz w:val="24"/>
          <w:szCs w:val="24"/>
          <w:highlight w:val="white"/>
        </w:rPr>
        <w:t xml:space="preserve"> [Internet]. 2016;150(6):1393-1407.e5. Disponible en: </w:t>
      </w:r>
      <w:hyperlink r:id="rId30">
        <w:r w:rsidRPr="008B401B">
          <w:rPr>
            <w:rFonts w:ascii="Century Gothic" w:eastAsia="Arial" w:hAnsi="Century Gothic" w:cs="Arial"/>
            <w:sz w:val="24"/>
            <w:szCs w:val="24"/>
            <w:highlight w:val="white"/>
          </w:rPr>
          <w:t>http://dx.doi.org/10.1053/j.gastro.2016.02.031</w:t>
        </w:r>
      </w:hyperlink>
    </w:p>
    <w:p w14:paraId="702B6FBB"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736DF8B7"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Bharucha</w:t>
      </w:r>
      <w:proofErr w:type="spellEnd"/>
      <w:r w:rsidRPr="0016703E">
        <w:rPr>
          <w:rFonts w:ascii="Century Gothic" w:eastAsia="Arial" w:hAnsi="Century Gothic" w:cs="Arial"/>
          <w:sz w:val="24"/>
          <w:szCs w:val="24"/>
          <w:highlight w:val="white"/>
        </w:rPr>
        <w:t xml:space="preserve"> AE, Wald A, </w:t>
      </w:r>
      <w:proofErr w:type="spellStart"/>
      <w:r w:rsidRPr="0016703E">
        <w:rPr>
          <w:rFonts w:ascii="Century Gothic" w:eastAsia="Arial" w:hAnsi="Century Gothic" w:cs="Arial"/>
          <w:sz w:val="24"/>
          <w:szCs w:val="24"/>
          <w:highlight w:val="white"/>
        </w:rPr>
        <w:t>Enck</w:t>
      </w:r>
      <w:proofErr w:type="spellEnd"/>
      <w:r w:rsidRPr="0016703E">
        <w:rPr>
          <w:rFonts w:ascii="Century Gothic" w:eastAsia="Arial" w:hAnsi="Century Gothic" w:cs="Arial"/>
          <w:sz w:val="24"/>
          <w:szCs w:val="24"/>
          <w:highlight w:val="white"/>
        </w:rPr>
        <w:t xml:space="preserve"> P, Rao S. </w:t>
      </w:r>
      <w:proofErr w:type="spellStart"/>
      <w:r w:rsidRPr="0016703E">
        <w:rPr>
          <w:rFonts w:ascii="Century Gothic" w:eastAsia="Arial" w:hAnsi="Century Gothic" w:cs="Arial"/>
          <w:sz w:val="24"/>
          <w:szCs w:val="24"/>
          <w:highlight w:val="white"/>
        </w:rPr>
        <w:t>Functional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anorectal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disorders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Gastroenterology</w:t>
      </w:r>
      <w:proofErr w:type="spellEnd"/>
      <w:r w:rsidRPr="0016703E">
        <w:rPr>
          <w:rFonts w:ascii="Century Gothic" w:eastAsia="Arial" w:hAnsi="Century Gothic" w:cs="Arial"/>
          <w:sz w:val="24"/>
          <w:szCs w:val="24"/>
          <w:highlight w:val="white"/>
        </w:rPr>
        <w:t xml:space="preserve"> [Internet]. 2006;130(5):1510–8. Disponible en: </w:t>
      </w:r>
      <w:hyperlink r:id="rId31">
        <w:r w:rsidRPr="008B401B">
          <w:rPr>
            <w:rFonts w:ascii="Century Gothic" w:eastAsia="Arial" w:hAnsi="Century Gothic" w:cs="Arial"/>
            <w:sz w:val="24"/>
            <w:szCs w:val="24"/>
            <w:highlight w:val="white"/>
          </w:rPr>
          <w:t>http://dx.doi.org/10.1053/j.gastro.2005.11.064</w:t>
        </w:r>
      </w:hyperlink>
    </w:p>
    <w:p w14:paraId="2EB3D6C5"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5CEB844F"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Wald A, </w:t>
      </w:r>
      <w:proofErr w:type="spellStart"/>
      <w:r w:rsidRPr="0016703E">
        <w:rPr>
          <w:rFonts w:ascii="Century Gothic" w:eastAsia="Arial" w:hAnsi="Century Gothic" w:cs="Arial"/>
          <w:sz w:val="24"/>
          <w:szCs w:val="24"/>
          <w:highlight w:val="white"/>
        </w:rPr>
        <w:t>Bharucha</w:t>
      </w:r>
      <w:proofErr w:type="spellEnd"/>
      <w:r w:rsidRPr="0016703E">
        <w:rPr>
          <w:rFonts w:ascii="Century Gothic" w:eastAsia="Arial" w:hAnsi="Century Gothic" w:cs="Arial"/>
          <w:sz w:val="24"/>
          <w:szCs w:val="24"/>
          <w:highlight w:val="white"/>
        </w:rPr>
        <w:t xml:space="preserve"> AE, </w:t>
      </w:r>
      <w:proofErr w:type="spellStart"/>
      <w:r w:rsidRPr="0016703E">
        <w:rPr>
          <w:rFonts w:ascii="Century Gothic" w:eastAsia="Arial" w:hAnsi="Century Gothic" w:cs="Arial"/>
          <w:sz w:val="24"/>
          <w:szCs w:val="24"/>
          <w:highlight w:val="white"/>
        </w:rPr>
        <w:t>Cosman</w:t>
      </w:r>
      <w:proofErr w:type="spellEnd"/>
      <w:r w:rsidRPr="0016703E">
        <w:rPr>
          <w:rFonts w:ascii="Century Gothic" w:eastAsia="Arial" w:hAnsi="Century Gothic" w:cs="Arial"/>
          <w:sz w:val="24"/>
          <w:szCs w:val="24"/>
          <w:highlight w:val="white"/>
        </w:rPr>
        <w:t xml:space="preserve"> BC, Whitehead WE. ACG </w:t>
      </w:r>
      <w:proofErr w:type="spellStart"/>
      <w:r w:rsidRPr="0016703E">
        <w:rPr>
          <w:rFonts w:ascii="Century Gothic" w:eastAsia="Arial" w:hAnsi="Century Gothic" w:cs="Arial"/>
          <w:sz w:val="24"/>
          <w:szCs w:val="24"/>
          <w:highlight w:val="white"/>
        </w:rPr>
        <w:t>clinical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guideline</w:t>
      </w:r>
      <w:proofErr w:type="spellEnd"/>
      <w:r w:rsidRPr="0016703E">
        <w:rPr>
          <w:rFonts w:ascii="Century Gothic" w:eastAsia="Arial" w:hAnsi="Century Gothic" w:cs="Arial"/>
          <w:sz w:val="24"/>
          <w:szCs w:val="24"/>
          <w:highlight w:val="white"/>
        </w:rPr>
        <w:t xml:space="preserve">: Management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benign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anorectal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disorders</w:t>
      </w:r>
      <w:proofErr w:type="spellEnd"/>
      <w:r w:rsidRPr="0016703E">
        <w:rPr>
          <w:rFonts w:ascii="Century Gothic" w:eastAsia="Arial" w:hAnsi="Century Gothic" w:cs="Arial"/>
          <w:sz w:val="24"/>
          <w:szCs w:val="24"/>
          <w:highlight w:val="white"/>
        </w:rPr>
        <w:t xml:space="preserve">. Am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2014 [citado el 22 de mayo de 2024];109(8):1141–57. Disponible en: </w:t>
      </w:r>
      <w:hyperlink r:id="rId32">
        <w:r w:rsidRPr="008B401B">
          <w:rPr>
            <w:rFonts w:ascii="Century Gothic" w:eastAsia="Arial" w:hAnsi="Century Gothic" w:cs="Arial"/>
            <w:sz w:val="24"/>
            <w:szCs w:val="24"/>
            <w:highlight w:val="white"/>
          </w:rPr>
          <w:t>https://pubmed.ncbi.nlm.nih.gov/25022811/</w:t>
        </w:r>
      </w:hyperlink>
    </w:p>
    <w:p w14:paraId="1B155FE1"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523FA00B"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Rao SSC, </w:t>
      </w:r>
      <w:proofErr w:type="spellStart"/>
      <w:r w:rsidRPr="0016703E">
        <w:rPr>
          <w:rFonts w:ascii="Century Gothic" w:eastAsia="Arial" w:hAnsi="Century Gothic" w:cs="Arial"/>
          <w:sz w:val="24"/>
          <w:szCs w:val="24"/>
          <w:highlight w:val="white"/>
        </w:rPr>
        <w:t>Meduri</w:t>
      </w:r>
      <w:proofErr w:type="spellEnd"/>
      <w:r w:rsidRPr="0016703E">
        <w:rPr>
          <w:rFonts w:ascii="Century Gothic" w:eastAsia="Arial" w:hAnsi="Century Gothic" w:cs="Arial"/>
          <w:sz w:val="24"/>
          <w:szCs w:val="24"/>
          <w:highlight w:val="white"/>
        </w:rPr>
        <w:t xml:space="preserve"> K. </w:t>
      </w:r>
      <w:proofErr w:type="spellStart"/>
      <w:r w:rsidRPr="0016703E">
        <w:rPr>
          <w:rFonts w:ascii="Century Gothic" w:eastAsia="Arial" w:hAnsi="Century Gothic" w:cs="Arial"/>
          <w:sz w:val="24"/>
          <w:szCs w:val="24"/>
          <w:highlight w:val="white"/>
        </w:rPr>
        <w:t>What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is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necessary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to</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diagnose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Best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Pract</w:t>
      </w:r>
      <w:proofErr w:type="spellEnd"/>
      <w:r w:rsidRPr="0016703E">
        <w:rPr>
          <w:rFonts w:ascii="Century Gothic" w:eastAsia="Arial" w:hAnsi="Century Gothic" w:cs="Arial"/>
          <w:sz w:val="24"/>
          <w:szCs w:val="24"/>
          <w:highlight w:val="white"/>
        </w:rPr>
        <w:t xml:space="preserve"> Res Clin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2011;25(1):127–40. Disponible en: </w:t>
      </w:r>
      <w:hyperlink r:id="rId33">
        <w:r w:rsidRPr="008B401B">
          <w:rPr>
            <w:rFonts w:ascii="Century Gothic" w:eastAsia="Arial" w:hAnsi="Century Gothic" w:cs="Arial"/>
            <w:sz w:val="24"/>
            <w:szCs w:val="24"/>
            <w:highlight w:val="white"/>
          </w:rPr>
          <w:t>http://dx.doi.org/10.1016/j.bpg.2010.11.001</w:t>
        </w:r>
      </w:hyperlink>
    </w:p>
    <w:p w14:paraId="2CF9F237" w14:textId="77777777" w:rsidR="008B401B" w:rsidRDefault="008B401B" w:rsidP="008B401B">
      <w:pPr>
        <w:pStyle w:val="Prrafodelista"/>
        <w:rPr>
          <w:rFonts w:ascii="Century Gothic" w:eastAsia="Arial" w:hAnsi="Century Gothic" w:cs="Arial"/>
          <w:sz w:val="24"/>
          <w:szCs w:val="24"/>
          <w:highlight w:val="white"/>
        </w:rPr>
      </w:pPr>
    </w:p>
    <w:p w14:paraId="09BCD9BE" w14:textId="77777777" w:rsidR="008B401B" w:rsidRPr="0016703E" w:rsidRDefault="008B401B" w:rsidP="008B401B">
      <w:pPr>
        <w:pBdr>
          <w:top w:val="nil"/>
          <w:left w:val="nil"/>
          <w:bottom w:val="nil"/>
          <w:right w:val="nil"/>
          <w:between w:val="nil"/>
        </w:pBdr>
        <w:spacing w:after="0" w:line="240" w:lineRule="auto"/>
        <w:ind w:left="720"/>
        <w:jc w:val="both"/>
        <w:rPr>
          <w:rFonts w:ascii="Century Gothic" w:eastAsia="Arial" w:hAnsi="Century Gothic" w:cs="Arial"/>
          <w:sz w:val="24"/>
          <w:szCs w:val="24"/>
          <w:highlight w:val="white"/>
        </w:rPr>
      </w:pPr>
    </w:p>
    <w:p w14:paraId="6DEB9B90"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lastRenderedPageBreak/>
        <w:t>Videlock</w:t>
      </w:r>
      <w:proofErr w:type="spellEnd"/>
      <w:r w:rsidRPr="0016703E">
        <w:rPr>
          <w:rFonts w:ascii="Century Gothic" w:eastAsia="Arial" w:hAnsi="Century Gothic" w:cs="Arial"/>
          <w:sz w:val="24"/>
          <w:szCs w:val="24"/>
          <w:highlight w:val="white"/>
        </w:rPr>
        <w:t xml:space="preserve"> EJ, Lembo A, </w:t>
      </w:r>
      <w:proofErr w:type="spellStart"/>
      <w:r w:rsidRPr="0016703E">
        <w:rPr>
          <w:rFonts w:ascii="Century Gothic" w:eastAsia="Arial" w:hAnsi="Century Gothic" w:cs="Arial"/>
          <w:sz w:val="24"/>
          <w:szCs w:val="24"/>
          <w:highlight w:val="white"/>
        </w:rPr>
        <w:t>Cremonini</w:t>
      </w:r>
      <w:proofErr w:type="spellEnd"/>
      <w:r w:rsidRPr="0016703E">
        <w:rPr>
          <w:rFonts w:ascii="Century Gothic" w:eastAsia="Arial" w:hAnsi="Century Gothic" w:cs="Arial"/>
          <w:sz w:val="24"/>
          <w:szCs w:val="24"/>
          <w:highlight w:val="white"/>
        </w:rPr>
        <w:t xml:space="preserve"> F. </w:t>
      </w:r>
      <w:proofErr w:type="spellStart"/>
      <w:r w:rsidRPr="0016703E">
        <w:rPr>
          <w:rFonts w:ascii="Century Gothic" w:eastAsia="Arial" w:hAnsi="Century Gothic" w:cs="Arial"/>
          <w:sz w:val="24"/>
          <w:szCs w:val="24"/>
          <w:highlight w:val="white"/>
        </w:rPr>
        <w:t>Diagnostic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testing</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dyssynergic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defecation</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meta</w:t>
      </w:r>
      <w:r w:rsidRPr="0016703E">
        <w:rPr>
          <w:rFonts w:ascii="Cambria Math" w:eastAsia="Arial" w:hAnsi="Cambria Math" w:cs="Cambria Math"/>
          <w:sz w:val="24"/>
          <w:szCs w:val="24"/>
          <w:highlight w:val="white"/>
        </w:rPr>
        <w:t>‐</w:t>
      </w:r>
      <w:proofErr w:type="spellStart"/>
      <w:r w:rsidRPr="0016703E">
        <w:rPr>
          <w:rFonts w:ascii="Century Gothic" w:eastAsia="Arial" w:hAnsi="Century Gothic" w:cs="Arial"/>
          <w:sz w:val="24"/>
          <w:szCs w:val="24"/>
          <w:highlight w:val="white"/>
        </w:rPr>
        <w:t>analysis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Neurogastroenterol</w:t>
      </w:r>
      <w:proofErr w:type="spellEnd"/>
      <w:r w:rsidRPr="0016703E">
        <w:rPr>
          <w:rFonts w:ascii="Century Gothic" w:eastAsia="Arial" w:hAnsi="Century Gothic" w:cs="Arial"/>
          <w:sz w:val="24"/>
          <w:szCs w:val="24"/>
          <w:highlight w:val="white"/>
        </w:rPr>
        <w:t xml:space="preserve"> Motil [Internet]. 2013 [citado el 22 de mayo de 2024];25(6):509. Disponible en: </w:t>
      </w:r>
      <w:hyperlink r:id="rId34">
        <w:r w:rsidRPr="008B401B">
          <w:rPr>
            <w:rFonts w:ascii="Century Gothic" w:eastAsia="Arial" w:hAnsi="Century Gothic" w:cs="Arial"/>
            <w:sz w:val="24"/>
            <w:szCs w:val="24"/>
            <w:highlight w:val="white"/>
          </w:rPr>
          <w:t>https://pubmed.ncbi.nlm.nih.gov/23421551/</w:t>
        </w:r>
      </w:hyperlink>
    </w:p>
    <w:p w14:paraId="779ED8AD" w14:textId="77777777" w:rsidR="008B401B" w:rsidRPr="0016703E" w:rsidRDefault="008B401B" w:rsidP="008B401B">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02BBCDCA"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Villoria A, Serra J, Azpiroz F, </w:t>
      </w:r>
      <w:proofErr w:type="spellStart"/>
      <w:r w:rsidRPr="0016703E">
        <w:rPr>
          <w:rFonts w:ascii="Century Gothic" w:eastAsia="Arial" w:hAnsi="Century Gothic" w:cs="Arial"/>
          <w:sz w:val="24"/>
          <w:szCs w:val="24"/>
          <w:highlight w:val="white"/>
        </w:rPr>
        <w:t>Malagelada</w:t>
      </w:r>
      <w:proofErr w:type="spellEnd"/>
      <w:r w:rsidRPr="0016703E">
        <w:rPr>
          <w:rFonts w:ascii="Century Gothic" w:eastAsia="Arial" w:hAnsi="Century Gothic" w:cs="Arial"/>
          <w:sz w:val="24"/>
          <w:szCs w:val="24"/>
          <w:highlight w:val="white"/>
        </w:rPr>
        <w:t xml:space="preserve"> J-R. </w:t>
      </w:r>
      <w:proofErr w:type="spellStart"/>
      <w:r w:rsidRPr="0016703E">
        <w:rPr>
          <w:rFonts w:ascii="Century Gothic" w:eastAsia="Arial" w:hAnsi="Century Gothic" w:cs="Arial"/>
          <w:sz w:val="24"/>
          <w:szCs w:val="24"/>
          <w:highlight w:val="white"/>
        </w:rPr>
        <w:t>Physical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activity</w:t>
      </w:r>
      <w:proofErr w:type="spellEnd"/>
      <w:r w:rsidRPr="0016703E">
        <w:rPr>
          <w:rFonts w:ascii="Century Gothic" w:eastAsia="Arial" w:hAnsi="Century Gothic" w:cs="Arial"/>
          <w:sz w:val="24"/>
          <w:szCs w:val="24"/>
          <w:highlight w:val="white"/>
        </w:rPr>
        <w:t xml:space="preserve"> and intestinal gas </w:t>
      </w:r>
      <w:proofErr w:type="spellStart"/>
      <w:r w:rsidRPr="0016703E">
        <w:rPr>
          <w:rFonts w:ascii="Century Gothic" w:eastAsia="Arial" w:hAnsi="Century Gothic" w:cs="Arial"/>
          <w:sz w:val="24"/>
          <w:szCs w:val="24"/>
          <w:highlight w:val="white"/>
        </w:rPr>
        <w:t>clearance</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patients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with</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bloating</w:t>
      </w:r>
      <w:proofErr w:type="spellEnd"/>
      <w:r w:rsidRPr="0016703E">
        <w:rPr>
          <w:rFonts w:ascii="Century Gothic" w:eastAsia="Arial" w:hAnsi="Century Gothic" w:cs="Arial"/>
          <w:sz w:val="24"/>
          <w:szCs w:val="24"/>
          <w:highlight w:val="white"/>
        </w:rPr>
        <w:t xml:space="preserve">. Am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2006 [citado el 22 de mayo de 2024];101(11):2552–7. Disponible en:</w:t>
      </w:r>
      <w:r w:rsidRPr="008B401B">
        <w:rPr>
          <w:rFonts w:ascii="Century Gothic" w:eastAsia="Arial" w:hAnsi="Century Gothic" w:cs="Arial"/>
          <w:sz w:val="24"/>
          <w:szCs w:val="24"/>
          <w:highlight w:val="white"/>
        </w:rPr>
        <w:t xml:space="preserve"> </w:t>
      </w:r>
      <w:hyperlink r:id="rId35">
        <w:r w:rsidRPr="008B401B">
          <w:rPr>
            <w:rFonts w:ascii="Century Gothic" w:eastAsia="Arial" w:hAnsi="Century Gothic" w:cs="Arial"/>
            <w:sz w:val="24"/>
            <w:szCs w:val="24"/>
            <w:highlight w:val="white"/>
          </w:rPr>
          <w:t>https://pubmed.ncbi.nlm.nih.gov/17029608/</w:t>
        </w:r>
      </w:hyperlink>
    </w:p>
    <w:p w14:paraId="16DE68ED"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79D27634"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t>Johannesson</w:t>
      </w:r>
      <w:proofErr w:type="spellEnd"/>
      <w:r w:rsidRPr="0016703E">
        <w:rPr>
          <w:rFonts w:ascii="Century Gothic" w:eastAsia="Arial" w:hAnsi="Century Gothic" w:cs="Arial"/>
          <w:sz w:val="24"/>
          <w:szCs w:val="24"/>
          <w:highlight w:val="white"/>
        </w:rPr>
        <w:t xml:space="preserve"> E. </w:t>
      </w:r>
      <w:proofErr w:type="spellStart"/>
      <w:r w:rsidRPr="0016703E">
        <w:rPr>
          <w:rFonts w:ascii="Century Gothic" w:eastAsia="Arial" w:hAnsi="Century Gothic" w:cs="Arial"/>
          <w:sz w:val="24"/>
          <w:szCs w:val="24"/>
          <w:highlight w:val="white"/>
        </w:rPr>
        <w:t>Intervention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to</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increase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physical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activity</w:t>
      </w:r>
      <w:proofErr w:type="spellEnd"/>
      <w:r w:rsidRPr="0016703E">
        <w:rPr>
          <w:rFonts w:ascii="Century Gothic" w:eastAsia="Arial" w:hAnsi="Century Gothic" w:cs="Arial"/>
          <w:sz w:val="24"/>
          <w:szCs w:val="24"/>
          <w:highlight w:val="white"/>
        </w:rPr>
        <w:t xml:space="preserve"> in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syndrome</w:t>
      </w:r>
      <w:proofErr w:type="spellEnd"/>
      <w:r w:rsidRPr="0016703E">
        <w:rPr>
          <w:rFonts w:ascii="Century Gothic" w:eastAsia="Arial" w:hAnsi="Century Gothic" w:cs="Arial"/>
          <w:sz w:val="24"/>
          <w:szCs w:val="24"/>
          <w:highlight w:val="white"/>
        </w:rPr>
        <w:t xml:space="preserve"> </w:t>
      </w:r>
      <w:proofErr w:type="gramStart"/>
      <w:r w:rsidRPr="0016703E">
        <w:rPr>
          <w:rFonts w:ascii="Century Gothic" w:eastAsia="Arial" w:hAnsi="Century Gothic" w:cs="Arial"/>
          <w:sz w:val="24"/>
          <w:szCs w:val="24"/>
          <w:highlight w:val="white"/>
        </w:rPr>
        <w:t>shows</w:t>
      </w:r>
      <w:proofErr w:type="gram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long-term</w:t>
      </w:r>
      <w:proofErr w:type="spellEnd"/>
      <w:r w:rsidRPr="0016703E">
        <w:rPr>
          <w:rFonts w:ascii="Century Gothic" w:eastAsia="Arial" w:hAnsi="Century Gothic" w:cs="Arial"/>
          <w:sz w:val="24"/>
          <w:szCs w:val="24"/>
          <w:highlight w:val="white"/>
        </w:rPr>
        <w:t xml:space="preserve"> positive </w:t>
      </w:r>
      <w:proofErr w:type="spellStart"/>
      <w:r w:rsidRPr="0016703E">
        <w:rPr>
          <w:rFonts w:ascii="Century Gothic" w:eastAsia="Arial" w:hAnsi="Century Gothic" w:cs="Arial"/>
          <w:sz w:val="24"/>
          <w:szCs w:val="24"/>
          <w:highlight w:val="white"/>
        </w:rPr>
        <w:t>effects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World</w:t>
      </w:r>
      <w:proofErr w:type="spellEnd"/>
      <w:r w:rsidRPr="0016703E">
        <w:rPr>
          <w:rFonts w:ascii="Century Gothic" w:eastAsia="Arial" w:hAnsi="Century Gothic" w:cs="Arial"/>
          <w:sz w:val="24"/>
          <w:szCs w:val="24"/>
          <w:highlight w:val="white"/>
        </w:rPr>
        <w:t xml:space="preserve">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2015 [citado el 22 de mayo de 2024];21(2):600. Disponible en:</w:t>
      </w:r>
      <w:r w:rsidRPr="0016703E">
        <w:rPr>
          <w:rFonts w:ascii="Century Gothic" w:eastAsia="Arial" w:hAnsi="Century Gothic" w:cs="Arial"/>
          <w:color w:val="37393C"/>
          <w:sz w:val="24"/>
          <w:szCs w:val="24"/>
          <w:highlight w:val="white"/>
        </w:rPr>
        <w:t xml:space="preserve"> </w:t>
      </w:r>
      <w:hyperlink r:id="rId36">
        <w:r w:rsidRPr="008B401B">
          <w:rPr>
            <w:rFonts w:ascii="Century Gothic" w:eastAsia="Arial" w:hAnsi="Century Gothic" w:cs="Arial"/>
            <w:sz w:val="24"/>
            <w:szCs w:val="24"/>
            <w:highlight w:val="white"/>
          </w:rPr>
          <w:t>https://www.wjgnet.com/1007-9327/full/v21/i2/600.htm</w:t>
        </w:r>
      </w:hyperlink>
    </w:p>
    <w:p w14:paraId="206B00AC"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1A0D8F19"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t>Johannesson</w:t>
      </w:r>
      <w:proofErr w:type="spellEnd"/>
      <w:r w:rsidRPr="0016703E">
        <w:rPr>
          <w:rFonts w:ascii="Century Gothic" w:eastAsia="Arial" w:hAnsi="Century Gothic" w:cs="Arial"/>
          <w:sz w:val="24"/>
          <w:szCs w:val="24"/>
          <w:highlight w:val="white"/>
        </w:rPr>
        <w:t xml:space="preserve"> E, </w:t>
      </w:r>
      <w:proofErr w:type="spellStart"/>
      <w:r w:rsidRPr="0016703E">
        <w:rPr>
          <w:rFonts w:ascii="Century Gothic" w:eastAsia="Arial" w:hAnsi="Century Gothic" w:cs="Arial"/>
          <w:sz w:val="24"/>
          <w:szCs w:val="24"/>
          <w:highlight w:val="white"/>
        </w:rPr>
        <w:t>Simrén</w:t>
      </w:r>
      <w:proofErr w:type="spellEnd"/>
      <w:r w:rsidRPr="0016703E">
        <w:rPr>
          <w:rFonts w:ascii="Century Gothic" w:eastAsia="Arial" w:hAnsi="Century Gothic" w:cs="Arial"/>
          <w:sz w:val="24"/>
          <w:szCs w:val="24"/>
          <w:highlight w:val="white"/>
        </w:rPr>
        <w:t xml:space="preserve"> M, </w:t>
      </w:r>
      <w:proofErr w:type="spellStart"/>
      <w:r w:rsidRPr="0016703E">
        <w:rPr>
          <w:rFonts w:ascii="Century Gothic" w:eastAsia="Arial" w:hAnsi="Century Gothic" w:cs="Arial"/>
          <w:sz w:val="24"/>
          <w:szCs w:val="24"/>
          <w:highlight w:val="white"/>
        </w:rPr>
        <w:t>Strid</w:t>
      </w:r>
      <w:proofErr w:type="spellEnd"/>
      <w:r w:rsidRPr="0016703E">
        <w:rPr>
          <w:rFonts w:ascii="Century Gothic" w:eastAsia="Arial" w:hAnsi="Century Gothic" w:cs="Arial"/>
          <w:sz w:val="24"/>
          <w:szCs w:val="24"/>
          <w:highlight w:val="white"/>
        </w:rPr>
        <w:t xml:space="preserve"> H, </w:t>
      </w:r>
      <w:proofErr w:type="spellStart"/>
      <w:r w:rsidRPr="0016703E">
        <w:rPr>
          <w:rFonts w:ascii="Century Gothic" w:eastAsia="Arial" w:hAnsi="Century Gothic" w:cs="Arial"/>
          <w:sz w:val="24"/>
          <w:szCs w:val="24"/>
          <w:highlight w:val="white"/>
        </w:rPr>
        <w:t>Bajor</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Sadik</w:t>
      </w:r>
      <w:proofErr w:type="spellEnd"/>
      <w:r w:rsidRPr="0016703E">
        <w:rPr>
          <w:rFonts w:ascii="Century Gothic" w:eastAsia="Arial" w:hAnsi="Century Gothic" w:cs="Arial"/>
          <w:sz w:val="24"/>
          <w:szCs w:val="24"/>
          <w:highlight w:val="white"/>
        </w:rPr>
        <w:t xml:space="preserve"> R. </w:t>
      </w:r>
      <w:proofErr w:type="spellStart"/>
      <w:r w:rsidRPr="0016703E">
        <w:rPr>
          <w:rFonts w:ascii="Century Gothic" w:eastAsia="Arial" w:hAnsi="Century Gothic" w:cs="Arial"/>
          <w:sz w:val="24"/>
          <w:szCs w:val="24"/>
          <w:highlight w:val="white"/>
        </w:rPr>
        <w:t>Physical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activity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improves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symptoms</w:t>
      </w:r>
      <w:proofErr w:type="spellEnd"/>
      <w:r w:rsidRPr="0016703E">
        <w:rPr>
          <w:rFonts w:ascii="Century Gothic" w:eastAsia="Arial" w:hAnsi="Century Gothic" w:cs="Arial"/>
          <w:sz w:val="24"/>
          <w:szCs w:val="24"/>
          <w:highlight w:val="white"/>
        </w:rPr>
        <w:t xml:space="preserve"> in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syndrome</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randomized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trial. Am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2011 [citado el 22 de mayo de 2024];106(5):915–22. Disponible en: </w:t>
      </w:r>
      <w:hyperlink r:id="rId37">
        <w:r w:rsidRPr="008B401B">
          <w:rPr>
            <w:rFonts w:ascii="Century Gothic" w:eastAsia="Arial" w:hAnsi="Century Gothic" w:cs="Arial"/>
            <w:sz w:val="24"/>
            <w:szCs w:val="24"/>
            <w:highlight w:val="white"/>
          </w:rPr>
          <w:t>https://pubmed.ncbi.nlm.nih.gov/21206488/</w:t>
        </w:r>
      </w:hyperlink>
    </w:p>
    <w:p w14:paraId="48FBCB49"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15377359"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proofErr w:type="spellStart"/>
      <w:r w:rsidRPr="0016703E">
        <w:rPr>
          <w:rFonts w:ascii="Century Gothic" w:eastAsia="Arial" w:hAnsi="Century Gothic" w:cs="Arial"/>
          <w:sz w:val="24"/>
          <w:szCs w:val="24"/>
          <w:highlight w:val="white"/>
        </w:rPr>
        <w:t>Bove</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Consensus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statement</w:t>
      </w:r>
      <w:proofErr w:type="spellEnd"/>
      <w:r w:rsidRPr="0016703E">
        <w:rPr>
          <w:rFonts w:ascii="Century Gothic" w:eastAsia="Arial" w:hAnsi="Century Gothic" w:cs="Arial"/>
          <w:sz w:val="24"/>
          <w:szCs w:val="24"/>
          <w:highlight w:val="white"/>
        </w:rPr>
        <w:t xml:space="preserve"> AIGO/SICCR: Diagnosis and </w:t>
      </w:r>
      <w:proofErr w:type="spellStart"/>
      <w:r w:rsidRPr="0016703E">
        <w:rPr>
          <w:rFonts w:ascii="Century Gothic" w:eastAsia="Arial" w:hAnsi="Century Gothic" w:cs="Arial"/>
          <w:sz w:val="24"/>
          <w:szCs w:val="24"/>
          <w:highlight w:val="white"/>
        </w:rPr>
        <w:t>treatment</w:t>
      </w:r>
      <w:proofErr w:type="spellEnd"/>
      <w:r w:rsidRPr="0016703E">
        <w:rPr>
          <w:rFonts w:ascii="Century Gothic" w:eastAsia="Arial" w:hAnsi="Century Gothic" w:cs="Arial"/>
          <w:sz w:val="24"/>
          <w:szCs w:val="24"/>
          <w:highlight w:val="white"/>
        </w:rPr>
        <w:t xml:space="preserve"> of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obstructed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defecation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part</w:t>
      </w:r>
      <w:proofErr w:type="spellEnd"/>
      <w:r w:rsidRPr="0016703E">
        <w:rPr>
          <w:rFonts w:ascii="Century Gothic" w:eastAsia="Arial" w:hAnsi="Century Gothic" w:cs="Arial"/>
          <w:sz w:val="24"/>
          <w:szCs w:val="24"/>
          <w:highlight w:val="white"/>
        </w:rPr>
        <w:t xml:space="preserve"> I: Diagnosis). </w:t>
      </w:r>
      <w:proofErr w:type="spellStart"/>
      <w:r w:rsidRPr="0016703E">
        <w:rPr>
          <w:rFonts w:ascii="Century Gothic" w:eastAsia="Arial" w:hAnsi="Century Gothic" w:cs="Arial"/>
          <w:sz w:val="24"/>
          <w:szCs w:val="24"/>
          <w:highlight w:val="white"/>
        </w:rPr>
        <w:t>World</w:t>
      </w:r>
      <w:proofErr w:type="spellEnd"/>
      <w:r w:rsidRPr="0016703E">
        <w:rPr>
          <w:rFonts w:ascii="Century Gothic" w:eastAsia="Arial" w:hAnsi="Century Gothic" w:cs="Arial"/>
          <w:sz w:val="24"/>
          <w:szCs w:val="24"/>
          <w:highlight w:val="white"/>
        </w:rPr>
        <w:t xml:space="preserve">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2012;18(14):1555. Disponible en: </w:t>
      </w:r>
      <w:hyperlink r:id="rId38">
        <w:r w:rsidRPr="008B401B">
          <w:rPr>
            <w:rFonts w:ascii="Century Gothic" w:eastAsia="Arial" w:hAnsi="Century Gothic" w:cs="Arial"/>
            <w:sz w:val="24"/>
            <w:szCs w:val="24"/>
            <w:highlight w:val="white"/>
          </w:rPr>
          <w:t>http://dx.doi.org/10.3748/wjg.v18.i14.1555</w:t>
        </w:r>
      </w:hyperlink>
    </w:p>
    <w:p w14:paraId="0B50D8D4"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379AF909"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t>Ternent</w:t>
      </w:r>
      <w:proofErr w:type="spellEnd"/>
      <w:r w:rsidRPr="0016703E">
        <w:rPr>
          <w:rFonts w:ascii="Century Gothic" w:eastAsia="Arial" w:hAnsi="Century Gothic" w:cs="Arial"/>
          <w:sz w:val="24"/>
          <w:szCs w:val="24"/>
          <w:highlight w:val="white"/>
        </w:rPr>
        <w:t xml:space="preserve"> CA, </w:t>
      </w:r>
      <w:proofErr w:type="spellStart"/>
      <w:r w:rsidRPr="0016703E">
        <w:rPr>
          <w:rFonts w:ascii="Century Gothic" w:eastAsia="Arial" w:hAnsi="Century Gothic" w:cs="Arial"/>
          <w:sz w:val="24"/>
          <w:szCs w:val="24"/>
          <w:highlight w:val="white"/>
        </w:rPr>
        <w:t>Bastawrous</w:t>
      </w:r>
      <w:proofErr w:type="spellEnd"/>
      <w:r w:rsidRPr="0016703E">
        <w:rPr>
          <w:rFonts w:ascii="Century Gothic" w:eastAsia="Arial" w:hAnsi="Century Gothic" w:cs="Arial"/>
          <w:sz w:val="24"/>
          <w:szCs w:val="24"/>
          <w:highlight w:val="white"/>
        </w:rPr>
        <w:t xml:space="preserve"> AL, Morin NA, Ellis NC, </w:t>
      </w:r>
      <w:proofErr w:type="spellStart"/>
      <w:r w:rsidRPr="0016703E">
        <w:rPr>
          <w:rFonts w:ascii="Century Gothic" w:eastAsia="Arial" w:hAnsi="Century Gothic" w:cs="Arial"/>
          <w:sz w:val="24"/>
          <w:szCs w:val="24"/>
          <w:highlight w:val="white"/>
        </w:rPr>
        <w:t>Hyman</w:t>
      </w:r>
      <w:proofErr w:type="spellEnd"/>
      <w:r w:rsidRPr="0016703E">
        <w:rPr>
          <w:rFonts w:ascii="Century Gothic" w:eastAsia="Arial" w:hAnsi="Century Gothic" w:cs="Arial"/>
          <w:sz w:val="24"/>
          <w:szCs w:val="24"/>
          <w:highlight w:val="white"/>
        </w:rPr>
        <w:t xml:space="preserve"> NH, </w:t>
      </w:r>
      <w:proofErr w:type="spellStart"/>
      <w:r w:rsidRPr="0016703E">
        <w:rPr>
          <w:rFonts w:ascii="Century Gothic" w:eastAsia="Arial" w:hAnsi="Century Gothic" w:cs="Arial"/>
          <w:sz w:val="24"/>
          <w:szCs w:val="24"/>
          <w:highlight w:val="white"/>
        </w:rPr>
        <w:t>Buie</w:t>
      </w:r>
      <w:proofErr w:type="spellEnd"/>
      <w:r w:rsidRPr="0016703E">
        <w:rPr>
          <w:rFonts w:ascii="Century Gothic" w:eastAsia="Arial" w:hAnsi="Century Gothic" w:cs="Arial"/>
          <w:sz w:val="24"/>
          <w:szCs w:val="24"/>
          <w:highlight w:val="white"/>
        </w:rPr>
        <w:t xml:space="preserve"> DW. </w:t>
      </w:r>
      <w:proofErr w:type="spellStart"/>
      <w:r w:rsidRPr="0016703E">
        <w:rPr>
          <w:rFonts w:ascii="Century Gothic" w:eastAsia="Arial" w:hAnsi="Century Gothic" w:cs="Arial"/>
          <w:sz w:val="24"/>
          <w:szCs w:val="24"/>
          <w:highlight w:val="white"/>
        </w:rPr>
        <w:t>Practice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parameters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evaluation</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management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w:t>
      </w:r>
      <w:proofErr w:type="spellEnd"/>
      <w:r w:rsidRPr="0016703E">
        <w:rPr>
          <w:rFonts w:ascii="Century Gothic" w:eastAsia="Arial" w:hAnsi="Century Gothic" w:cs="Arial"/>
          <w:sz w:val="24"/>
          <w:szCs w:val="24"/>
          <w:highlight w:val="white"/>
        </w:rPr>
        <w:t xml:space="preserve"> Colon </w:t>
      </w:r>
      <w:proofErr w:type="spellStart"/>
      <w:r w:rsidRPr="0016703E">
        <w:rPr>
          <w:rFonts w:ascii="Century Gothic" w:eastAsia="Arial" w:hAnsi="Century Gothic" w:cs="Arial"/>
          <w:sz w:val="24"/>
          <w:szCs w:val="24"/>
          <w:highlight w:val="white"/>
        </w:rPr>
        <w:t>Rectum</w:t>
      </w:r>
      <w:proofErr w:type="spellEnd"/>
      <w:r w:rsidRPr="0016703E">
        <w:rPr>
          <w:rFonts w:ascii="Century Gothic" w:eastAsia="Arial" w:hAnsi="Century Gothic" w:cs="Arial"/>
          <w:sz w:val="24"/>
          <w:szCs w:val="24"/>
          <w:highlight w:val="white"/>
        </w:rPr>
        <w:t xml:space="preserve"> [Internet]. 2007 [citado el 22 de mayo de 2024];50(12):2013–22. Disponible en: </w:t>
      </w:r>
      <w:hyperlink r:id="rId39">
        <w:r w:rsidRPr="005118D8">
          <w:rPr>
            <w:rFonts w:ascii="Century Gothic" w:eastAsia="Arial" w:hAnsi="Century Gothic" w:cs="Arial"/>
            <w:sz w:val="24"/>
            <w:szCs w:val="24"/>
            <w:highlight w:val="white"/>
          </w:rPr>
          <w:t>https://pubmed.ncbi.nlm.nih.gov/17665250/</w:t>
        </w:r>
      </w:hyperlink>
    </w:p>
    <w:p w14:paraId="4F5094B4"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61658D56"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t>Jm</w:t>
      </w:r>
      <w:proofErr w:type="spellEnd"/>
      <w:r w:rsidRPr="0016703E">
        <w:rPr>
          <w:rFonts w:ascii="Century Gothic" w:eastAsia="Arial" w:hAnsi="Century Gothic" w:cs="Arial"/>
          <w:sz w:val="24"/>
          <w:szCs w:val="24"/>
          <w:highlight w:val="white"/>
        </w:rPr>
        <w:t xml:space="preserve"> RT, Gómez EO, Me IC, Noble LA, López CA, Bielsa MV, et al. </w:t>
      </w:r>
      <w:proofErr w:type="spellStart"/>
      <w:r w:rsidRPr="0016703E">
        <w:rPr>
          <w:rFonts w:ascii="Century Gothic" w:eastAsia="Arial" w:hAnsi="Century Gothic" w:cs="Arial"/>
          <w:sz w:val="24"/>
          <w:szCs w:val="24"/>
          <w:highlight w:val="white"/>
        </w:rPr>
        <w:t>Guidelines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diagnosis and </w:t>
      </w:r>
      <w:proofErr w:type="spellStart"/>
      <w:r w:rsidRPr="0016703E">
        <w:rPr>
          <w:rFonts w:ascii="Century Gothic" w:eastAsia="Arial" w:hAnsi="Century Gothic" w:cs="Arial"/>
          <w:sz w:val="24"/>
          <w:szCs w:val="24"/>
          <w:highlight w:val="white"/>
        </w:rPr>
        <w:t>treatment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Mexico</w:t>
      </w:r>
      <w:proofErr w:type="spellEnd"/>
      <w:r w:rsidRPr="0016703E">
        <w:rPr>
          <w:rFonts w:ascii="Century Gothic" w:eastAsia="Arial" w:hAnsi="Century Gothic" w:cs="Arial"/>
          <w:sz w:val="24"/>
          <w:szCs w:val="24"/>
          <w:highlight w:val="white"/>
        </w:rPr>
        <w:t xml:space="preserve">. C) Medical and </w:t>
      </w:r>
      <w:proofErr w:type="spellStart"/>
      <w:r w:rsidRPr="0016703E">
        <w:rPr>
          <w:rFonts w:ascii="Century Gothic" w:eastAsia="Arial" w:hAnsi="Century Gothic" w:cs="Arial"/>
          <w:sz w:val="24"/>
          <w:szCs w:val="24"/>
          <w:highlight w:val="white"/>
        </w:rPr>
        <w:t>surgical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treatment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Rev</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Mex [Internet]. 2011 [citado el 22 de mayo de 2024];76(2). Disponible en: </w:t>
      </w:r>
      <w:hyperlink r:id="rId40">
        <w:r w:rsidRPr="005118D8">
          <w:rPr>
            <w:rFonts w:ascii="Century Gothic" w:eastAsia="Arial" w:hAnsi="Century Gothic" w:cs="Arial"/>
            <w:sz w:val="24"/>
            <w:szCs w:val="24"/>
            <w:highlight w:val="white"/>
          </w:rPr>
          <w:t>https://pubmed.ncbi.nlm.nih.gov/21724490/</w:t>
        </w:r>
      </w:hyperlink>
    </w:p>
    <w:p w14:paraId="0FEC152E"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6EF53FA1"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color w:val="37393C"/>
          <w:sz w:val="24"/>
          <w:szCs w:val="24"/>
          <w:highlight w:val="white"/>
        </w:rPr>
        <w:lastRenderedPageBreak/>
        <w:t>C</w:t>
      </w:r>
      <w:r w:rsidRPr="0016703E">
        <w:rPr>
          <w:rFonts w:ascii="Century Gothic" w:eastAsia="Arial" w:hAnsi="Century Gothic" w:cs="Arial"/>
          <w:sz w:val="24"/>
          <w:szCs w:val="24"/>
          <w:highlight w:val="white"/>
        </w:rPr>
        <w:t>arroccio</w:t>
      </w:r>
      <w:proofErr w:type="spellEnd"/>
      <w:r w:rsidRPr="0016703E">
        <w:rPr>
          <w:rFonts w:ascii="Century Gothic" w:eastAsia="Arial" w:hAnsi="Century Gothic" w:cs="Arial"/>
          <w:sz w:val="24"/>
          <w:szCs w:val="24"/>
          <w:highlight w:val="white"/>
        </w:rPr>
        <w:t xml:space="preserve"> A, Mansueto P, </w:t>
      </w:r>
      <w:proofErr w:type="spellStart"/>
      <w:r w:rsidRPr="0016703E">
        <w:rPr>
          <w:rFonts w:ascii="Century Gothic" w:eastAsia="Arial" w:hAnsi="Century Gothic" w:cs="Arial"/>
          <w:sz w:val="24"/>
          <w:szCs w:val="24"/>
          <w:highlight w:val="white"/>
        </w:rPr>
        <w:t>Iacono</w:t>
      </w:r>
      <w:proofErr w:type="spellEnd"/>
      <w:r w:rsidRPr="0016703E">
        <w:rPr>
          <w:rFonts w:ascii="Century Gothic" w:eastAsia="Arial" w:hAnsi="Century Gothic" w:cs="Arial"/>
          <w:sz w:val="24"/>
          <w:szCs w:val="24"/>
          <w:highlight w:val="white"/>
        </w:rPr>
        <w:t xml:space="preserve"> G, </w:t>
      </w:r>
      <w:proofErr w:type="spellStart"/>
      <w:r w:rsidRPr="0016703E">
        <w:rPr>
          <w:rFonts w:ascii="Century Gothic" w:eastAsia="Arial" w:hAnsi="Century Gothic" w:cs="Arial"/>
          <w:sz w:val="24"/>
          <w:szCs w:val="24"/>
          <w:highlight w:val="white"/>
        </w:rPr>
        <w:t>Soresi</w:t>
      </w:r>
      <w:proofErr w:type="spellEnd"/>
      <w:r w:rsidRPr="0016703E">
        <w:rPr>
          <w:rFonts w:ascii="Century Gothic" w:eastAsia="Arial" w:hAnsi="Century Gothic" w:cs="Arial"/>
          <w:sz w:val="24"/>
          <w:szCs w:val="24"/>
          <w:highlight w:val="white"/>
        </w:rPr>
        <w:t xml:space="preserve"> M, </w:t>
      </w:r>
      <w:proofErr w:type="spellStart"/>
      <w:r w:rsidRPr="0016703E">
        <w:rPr>
          <w:rFonts w:ascii="Century Gothic" w:eastAsia="Arial" w:hAnsi="Century Gothic" w:cs="Arial"/>
          <w:sz w:val="24"/>
          <w:szCs w:val="24"/>
          <w:highlight w:val="white"/>
        </w:rPr>
        <w:t>D’Alcamo</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Cavataio</w:t>
      </w:r>
      <w:proofErr w:type="spellEnd"/>
      <w:r w:rsidRPr="0016703E">
        <w:rPr>
          <w:rFonts w:ascii="Century Gothic" w:eastAsia="Arial" w:hAnsi="Century Gothic" w:cs="Arial"/>
          <w:sz w:val="24"/>
          <w:szCs w:val="24"/>
          <w:highlight w:val="white"/>
        </w:rPr>
        <w:t xml:space="preserve"> F, et al. Non-</w:t>
      </w:r>
      <w:proofErr w:type="spellStart"/>
      <w:r w:rsidRPr="0016703E">
        <w:rPr>
          <w:rFonts w:ascii="Century Gothic" w:eastAsia="Arial" w:hAnsi="Century Gothic" w:cs="Arial"/>
          <w:sz w:val="24"/>
          <w:szCs w:val="24"/>
          <w:highlight w:val="white"/>
        </w:rPr>
        <w:t>celiac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wheat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sensitivity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diagnosed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by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double-blind</w:t>
      </w:r>
      <w:proofErr w:type="spellEnd"/>
      <w:r w:rsidRPr="0016703E">
        <w:rPr>
          <w:rFonts w:ascii="Century Gothic" w:eastAsia="Arial" w:hAnsi="Century Gothic" w:cs="Arial"/>
          <w:sz w:val="24"/>
          <w:szCs w:val="24"/>
          <w:highlight w:val="white"/>
        </w:rPr>
        <w:t xml:space="preserve"> placebo-</w:t>
      </w:r>
      <w:proofErr w:type="spellStart"/>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challenge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Exploring</w:t>
      </w:r>
      <w:proofErr w:type="spellEnd"/>
      <w:r w:rsidRPr="0016703E">
        <w:rPr>
          <w:rFonts w:ascii="Century Gothic" w:eastAsia="Arial" w:hAnsi="Century Gothic" w:cs="Arial"/>
          <w:sz w:val="24"/>
          <w:szCs w:val="24"/>
          <w:highlight w:val="white"/>
        </w:rPr>
        <w:t xml:space="preserve"> a new </w:t>
      </w:r>
      <w:proofErr w:type="spellStart"/>
      <w:r w:rsidRPr="0016703E">
        <w:rPr>
          <w:rFonts w:ascii="Century Gothic" w:eastAsia="Arial" w:hAnsi="Century Gothic" w:cs="Arial"/>
          <w:sz w:val="24"/>
          <w:szCs w:val="24"/>
          <w:highlight w:val="white"/>
        </w:rPr>
        <w:t>clinical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entity</w:t>
      </w:r>
      <w:proofErr w:type="spellEnd"/>
      <w:r w:rsidRPr="0016703E">
        <w:rPr>
          <w:rFonts w:ascii="Century Gothic" w:eastAsia="Arial" w:hAnsi="Century Gothic" w:cs="Arial"/>
          <w:sz w:val="24"/>
          <w:szCs w:val="24"/>
          <w:highlight w:val="white"/>
        </w:rPr>
        <w:t xml:space="preserve">. Am J </w:t>
      </w:r>
      <w:proofErr w:type="spellStart"/>
      <w:r w:rsidRPr="0016703E">
        <w:rPr>
          <w:rFonts w:ascii="Century Gothic" w:eastAsia="Arial" w:hAnsi="Century Gothic" w:cs="Arial"/>
          <w:sz w:val="24"/>
          <w:szCs w:val="24"/>
          <w:highlight w:val="white"/>
        </w:rPr>
        <w:t>Gastroenterol</w:t>
      </w:r>
      <w:proofErr w:type="spellEnd"/>
      <w:r w:rsidRPr="0016703E">
        <w:rPr>
          <w:rFonts w:ascii="Century Gothic" w:eastAsia="Arial" w:hAnsi="Century Gothic" w:cs="Arial"/>
          <w:sz w:val="24"/>
          <w:szCs w:val="24"/>
          <w:highlight w:val="white"/>
        </w:rPr>
        <w:t xml:space="preserve"> [Internet]. 2012 [citado el 22 de mayo de 2024];107(12):1898–906. Disponible en: </w:t>
      </w:r>
      <w:hyperlink r:id="rId41">
        <w:r w:rsidRPr="009F68C5">
          <w:rPr>
            <w:rFonts w:ascii="Century Gothic" w:eastAsia="Arial" w:hAnsi="Century Gothic" w:cs="Arial"/>
            <w:sz w:val="24"/>
            <w:szCs w:val="24"/>
            <w:highlight w:val="white"/>
          </w:rPr>
          <w:t>https://pubmed.ncbi.nlm.nih.gov/22825366/</w:t>
        </w:r>
      </w:hyperlink>
    </w:p>
    <w:p w14:paraId="78ED3AAA"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5196ECFD"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roofErr w:type="spellStart"/>
      <w:r w:rsidRPr="0016703E">
        <w:rPr>
          <w:rFonts w:ascii="Century Gothic" w:eastAsia="Arial" w:hAnsi="Century Gothic" w:cs="Arial"/>
          <w:sz w:val="24"/>
          <w:szCs w:val="24"/>
          <w:highlight w:val="white"/>
        </w:rPr>
        <w:t>Biesiekierski</w:t>
      </w:r>
      <w:proofErr w:type="spellEnd"/>
      <w:r w:rsidRPr="0016703E">
        <w:rPr>
          <w:rFonts w:ascii="Century Gothic" w:eastAsia="Arial" w:hAnsi="Century Gothic" w:cs="Arial"/>
          <w:sz w:val="24"/>
          <w:szCs w:val="24"/>
          <w:highlight w:val="white"/>
        </w:rPr>
        <w:t xml:space="preserve"> JR, Peters SL, </w:t>
      </w:r>
      <w:proofErr w:type="spellStart"/>
      <w:r w:rsidRPr="0016703E">
        <w:rPr>
          <w:rFonts w:ascii="Century Gothic" w:eastAsia="Arial" w:hAnsi="Century Gothic" w:cs="Arial"/>
          <w:sz w:val="24"/>
          <w:szCs w:val="24"/>
          <w:highlight w:val="white"/>
        </w:rPr>
        <w:t>Newnham</w:t>
      </w:r>
      <w:proofErr w:type="spellEnd"/>
      <w:r w:rsidRPr="0016703E">
        <w:rPr>
          <w:rFonts w:ascii="Century Gothic" w:eastAsia="Arial" w:hAnsi="Century Gothic" w:cs="Arial"/>
          <w:sz w:val="24"/>
          <w:szCs w:val="24"/>
          <w:highlight w:val="white"/>
        </w:rPr>
        <w:t xml:space="preserve"> ED, </w:t>
      </w:r>
      <w:proofErr w:type="spellStart"/>
      <w:r w:rsidRPr="0016703E">
        <w:rPr>
          <w:rFonts w:ascii="Century Gothic" w:eastAsia="Arial" w:hAnsi="Century Gothic" w:cs="Arial"/>
          <w:sz w:val="24"/>
          <w:szCs w:val="24"/>
          <w:highlight w:val="white"/>
        </w:rPr>
        <w:t>Rosella</w:t>
      </w:r>
      <w:proofErr w:type="spellEnd"/>
      <w:r w:rsidRPr="0016703E">
        <w:rPr>
          <w:rFonts w:ascii="Century Gothic" w:eastAsia="Arial" w:hAnsi="Century Gothic" w:cs="Arial"/>
          <w:sz w:val="24"/>
          <w:szCs w:val="24"/>
          <w:highlight w:val="white"/>
        </w:rPr>
        <w:t xml:space="preserve"> O, Muir JG, Gibson PR. No </w:t>
      </w:r>
      <w:proofErr w:type="spellStart"/>
      <w:r w:rsidRPr="0016703E">
        <w:rPr>
          <w:rFonts w:ascii="Century Gothic" w:eastAsia="Arial" w:hAnsi="Century Gothic" w:cs="Arial"/>
          <w:sz w:val="24"/>
          <w:szCs w:val="24"/>
          <w:highlight w:val="white"/>
        </w:rPr>
        <w:t>effects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gluten in </w:t>
      </w:r>
      <w:proofErr w:type="spellStart"/>
      <w:r w:rsidRPr="0016703E">
        <w:rPr>
          <w:rFonts w:ascii="Century Gothic" w:eastAsia="Arial" w:hAnsi="Century Gothic" w:cs="Arial"/>
          <w:sz w:val="24"/>
          <w:szCs w:val="24"/>
          <w:highlight w:val="white"/>
        </w:rPr>
        <w:t>patients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with</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self-reported</w:t>
      </w:r>
      <w:proofErr w:type="spellEnd"/>
      <w:r w:rsidRPr="0016703E">
        <w:rPr>
          <w:rFonts w:ascii="Century Gothic" w:eastAsia="Arial" w:hAnsi="Century Gothic" w:cs="Arial"/>
          <w:sz w:val="24"/>
          <w:szCs w:val="24"/>
          <w:highlight w:val="white"/>
        </w:rPr>
        <w:t xml:space="preserve"> non-</w:t>
      </w:r>
      <w:proofErr w:type="spellStart"/>
      <w:r w:rsidRPr="0016703E">
        <w:rPr>
          <w:rFonts w:ascii="Century Gothic" w:eastAsia="Arial" w:hAnsi="Century Gothic" w:cs="Arial"/>
          <w:sz w:val="24"/>
          <w:szCs w:val="24"/>
          <w:highlight w:val="white"/>
        </w:rPr>
        <w:t>celiac</w:t>
      </w:r>
      <w:proofErr w:type="spellEnd"/>
      <w:r w:rsidRPr="0016703E">
        <w:rPr>
          <w:rFonts w:ascii="Century Gothic" w:eastAsia="Arial" w:hAnsi="Century Gothic" w:cs="Arial"/>
          <w:sz w:val="24"/>
          <w:szCs w:val="24"/>
          <w:highlight w:val="white"/>
        </w:rPr>
        <w:t xml:space="preserve"> gluten </w:t>
      </w:r>
      <w:proofErr w:type="spellStart"/>
      <w:r w:rsidRPr="0016703E">
        <w:rPr>
          <w:rFonts w:ascii="Century Gothic" w:eastAsia="Arial" w:hAnsi="Century Gothic" w:cs="Arial"/>
          <w:sz w:val="24"/>
          <w:szCs w:val="24"/>
          <w:highlight w:val="white"/>
        </w:rPr>
        <w:t>sensitivity</w:t>
      </w:r>
      <w:proofErr w:type="spellEnd"/>
      <w:r w:rsidRPr="0016703E">
        <w:rPr>
          <w:rFonts w:ascii="Century Gothic" w:eastAsia="Arial" w:hAnsi="Century Gothic" w:cs="Arial"/>
          <w:sz w:val="24"/>
          <w:szCs w:val="24"/>
          <w:highlight w:val="white"/>
        </w:rPr>
        <w:t xml:space="preserve"> after </w:t>
      </w:r>
      <w:proofErr w:type="spellStart"/>
      <w:r w:rsidRPr="0016703E">
        <w:rPr>
          <w:rFonts w:ascii="Century Gothic" w:eastAsia="Arial" w:hAnsi="Century Gothic" w:cs="Arial"/>
          <w:sz w:val="24"/>
          <w:szCs w:val="24"/>
          <w:highlight w:val="white"/>
        </w:rPr>
        <w:t>dietary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reduction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fermentable, </w:t>
      </w:r>
      <w:proofErr w:type="spellStart"/>
      <w:r w:rsidRPr="0016703E">
        <w:rPr>
          <w:rFonts w:ascii="Century Gothic" w:eastAsia="Arial" w:hAnsi="Century Gothic" w:cs="Arial"/>
          <w:sz w:val="24"/>
          <w:szCs w:val="24"/>
          <w:highlight w:val="white"/>
        </w:rPr>
        <w:t>poorly</w:t>
      </w:r>
      <w:proofErr w:type="spellEnd"/>
      <w:r w:rsidRPr="0016703E">
        <w:rPr>
          <w:rFonts w:ascii="Century Gothic" w:eastAsia="Arial" w:hAnsi="Century Gothic" w:cs="Arial"/>
          <w:sz w:val="24"/>
          <w:szCs w:val="24"/>
          <w:highlight w:val="white"/>
        </w:rPr>
        <w:t xml:space="preserve"> absorbed, short-</w:t>
      </w:r>
      <w:proofErr w:type="spellStart"/>
      <w:r w:rsidRPr="0016703E">
        <w:rPr>
          <w:rFonts w:ascii="Century Gothic" w:eastAsia="Arial" w:hAnsi="Century Gothic" w:cs="Arial"/>
          <w:sz w:val="24"/>
          <w:szCs w:val="24"/>
          <w:highlight w:val="white"/>
        </w:rPr>
        <w:t>chain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carbohydrates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Gastroenterology</w:t>
      </w:r>
      <w:proofErr w:type="spellEnd"/>
      <w:r w:rsidRPr="0016703E">
        <w:rPr>
          <w:rFonts w:ascii="Century Gothic" w:eastAsia="Arial" w:hAnsi="Century Gothic" w:cs="Arial"/>
          <w:sz w:val="24"/>
          <w:szCs w:val="24"/>
          <w:highlight w:val="white"/>
        </w:rPr>
        <w:t xml:space="preserve"> [Internet]. 2013;145(2):320-328.e3. Disponible en: </w:t>
      </w:r>
      <w:hyperlink r:id="rId42">
        <w:r w:rsidRPr="009F68C5">
          <w:rPr>
            <w:rFonts w:ascii="Century Gothic" w:eastAsia="Arial" w:hAnsi="Century Gothic" w:cs="Arial"/>
            <w:sz w:val="24"/>
            <w:szCs w:val="24"/>
            <w:highlight w:val="white"/>
          </w:rPr>
          <w:t>http://dx.doi.org/10.1053/j.gastro.2013.04.051</w:t>
        </w:r>
      </w:hyperlink>
    </w:p>
    <w:p w14:paraId="52117A93"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260E7629"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Awad</w:t>
      </w:r>
      <w:proofErr w:type="spellEnd"/>
      <w:r w:rsidRPr="0016703E">
        <w:rPr>
          <w:rFonts w:ascii="Century Gothic" w:eastAsia="Arial" w:hAnsi="Century Gothic" w:cs="Arial"/>
          <w:sz w:val="24"/>
          <w:szCs w:val="24"/>
          <w:highlight w:val="white"/>
        </w:rPr>
        <w:t xml:space="preserve"> RA, Camacho S. A </w:t>
      </w:r>
      <w:proofErr w:type="spellStart"/>
      <w:r w:rsidRPr="0016703E">
        <w:rPr>
          <w:rFonts w:ascii="Century Gothic" w:eastAsia="Arial" w:hAnsi="Century Gothic" w:cs="Arial"/>
          <w:sz w:val="24"/>
          <w:szCs w:val="24"/>
          <w:highlight w:val="white"/>
        </w:rPr>
        <w:t>randomized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double</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blind</w:t>
      </w:r>
      <w:proofErr w:type="spellEnd"/>
      <w:r w:rsidRPr="0016703E">
        <w:rPr>
          <w:rFonts w:ascii="Century Gothic" w:eastAsia="Arial" w:hAnsi="Century Gothic" w:cs="Arial"/>
          <w:sz w:val="24"/>
          <w:szCs w:val="24"/>
          <w:highlight w:val="white"/>
        </w:rPr>
        <w:t>, placebo</w:t>
      </w:r>
      <w:r w:rsidRPr="0016703E">
        <w:rPr>
          <w:rFonts w:ascii="Cambria Math" w:eastAsia="Arial" w:hAnsi="Cambria Math" w:cs="Cambria Math"/>
          <w:sz w:val="24"/>
          <w:szCs w:val="24"/>
          <w:highlight w:val="white"/>
        </w:rPr>
        <w:t>‐</w:t>
      </w:r>
      <w:proofErr w:type="spellStart"/>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trial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polyethylene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glycol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effects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fasting</w:t>
      </w:r>
      <w:proofErr w:type="spellEnd"/>
      <w:r w:rsidRPr="0016703E">
        <w:rPr>
          <w:rFonts w:ascii="Century Gothic" w:eastAsia="Arial" w:hAnsi="Century Gothic" w:cs="Arial"/>
          <w:sz w:val="24"/>
          <w:szCs w:val="24"/>
          <w:highlight w:val="white"/>
        </w:rPr>
        <w:t xml:space="preserve"> and postprandial rectal </w:t>
      </w:r>
      <w:proofErr w:type="spellStart"/>
      <w:r w:rsidRPr="0016703E">
        <w:rPr>
          <w:rFonts w:ascii="Century Gothic" w:eastAsia="Arial" w:hAnsi="Century Gothic" w:cs="Arial"/>
          <w:sz w:val="24"/>
          <w:szCs w:val="24"/>
          <w:highlight w:val="white"/>
        </w:rPr>
        <w:t>sensitivity</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symptoms</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hypersensitive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predominant</w:t>
      </w:r>
      <w:proofErr w:type="spellEnd"/>
      <w:r w:rsidRPr="0016703E">
        <w:rPr>
          <w:rFonts w:ascii="Century Gothic" w:eastAsia="Arial" w:hAnsi="Century Gothic" w:cs="Arial"/>
          <w:sz w:val="24"/>
          <w:szCs w:val="24"/>
          <w:highlight w:val="white"/>
        </w:rPr>
        <w:t xml:space="preserve">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syndrome. </w:t>
      </w:r>
      <w:proofErr w:type="spellStart"/>
      <w:r w:rsidRPr="0016703E">
        <w:rPr>
          <w:rFonts w:ascii="Century Gothic" w:eastAsia="Arial" w:hAnsi="Century Gothic" w:cs="Arial"/>
          <w:sz w:val="24"/>
          <w:szCs w:val="24"/>
          <w:highlight w:val="white"/>
        </w:rPr>
        <w:t>Colorectal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Dis</w:t>
      </w:r>
      <w:proofErr w:type="spellEnd"/>
      <w:r w:rsidRPr="0016703E">
        <w:rPr>
          <w:rFonts w:ascii="Century Gothic" w:eastAsia="Arial" w:hAnsi="Century Gothic" w:cs="Arial"/>
          <w:sz w:val="24"/>
          <w:szCs w:val="24"/>
          <w:highlight w:val="white"/>
        </w:rPr>
        <w:t xml:space="preserve"> [Internet]. 2010 [citado el 22 de mayo de 2024];12(11):1131</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8. Disponible en: </w:t>
      </w:r>
      <w:hyperlink r:id="rId43">
        <w:r w:rsidRPr="009F68C5">
          <w:rPr>
            <w:rFonts w:ascii="Century Gothic" w:eastAsia="Arial" w:hAnsi="Century Gothic" w:cs="Arial"/>
            <w:sz w:val="24"/>
            <w:szCs w:val="24"/>
            <w:highlight w:val="white"/>
          </w:rPr>
          <w:t>https://pubmed.ncbi.nlm.nih.gov/19575740/</w:t>
        </w:r>
      </w:hyperlink>
    </w:p>
    <w:p w14:paraId="6BC3FBF4"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13D7CAFB"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Chapman RW, </w:t>
      </w:r>
      <w:proofErr w:type="spellStart"/>
      <w:r w:rsidRPr="0016703E">
        <w:rPr>
          <w:rFonts w:ascii="Century Gothic" w:eastAsia="Arial" w:hAnsi="Century Gothic" w:cs="Arial"/>
          <w:sz w:val="24"/>
          <w:szCs w:val="24"/>
        </w:rPr>
        <w:t>Stanghellini</w:t>
      </w:r>
      <w:proofErr w:type="spellEnd"/>
      <w:r w:rsidRPr="0016703E">
        <w:rPr>
          <w:rFonts w:ascii="Century Gothic" w:eastAsia="Arial" w:hAnsi="Century Gothic" w:cs="Arial"/>
          <w:sz w:val="24"/>
          <w:szCs w:val="24"/>
        </w:rPr>
        <w:t xml:space="preserve"> V, </w:t>
      </w:r>
      <w:proofErr w:type="spellStart"/>
      <w:r w:rsidRPr="0016703E">
        <w:rPr>
          <w:rFonts w:ascii="Century Gothic" w:eastAsia="Arial" w:hAnsi="Century Gothic" w:cs="Arial"/>
          <w:sz w:val="24"/>
          <w:szCs w:val="24"/>
        </w:rPr>
        <w:t>Geraint</w:t>
      </w:r>
      <w:proofErr w:type="spellEnd"/>
      <w:r w:rsidRPr="0016703E">
        <w:rPr>
          <w:rFonts w:ascii="Century Gothic" w:eastAsia="Arial" w:hAnsi="Century Gothic" w:cs="Arial"/>
          <w:sz w:val="24"/>
          <w:szCs w:val="24"/>
        </w:rPr>
        <w:t xml:space="preserve"> M, </w:t>
      </w:r>
      <w:proofErr w:type="spellStart"/>
      <w:r w:rsidRPr="0016703E">
        <w:rPr>
          <w:rFonts w:ascii="Century Gothic" w:eastAsia="Arial" w:hAnsi="Century Gothic" w:cs="Arial"/>
          <w:sz w:val="24"/>
          <w:szCs w:val="24"/>
        </w:rPr>
        <w:t>Halphen</w:t>
      </w:r>
      <w:proofErr w:type="spellEnd"/>
      <w:r w:rsidRPr="0016703E">
        <w:rPr>
          <w:rFonts w:ascii="Century Gothic" w:eastAsia="Arial" w:hAnsi="Century Gothic" w:cs="Arial"/>
          <w:sz w:val="24"/>
          <w:szCs w:val="24"/>
        </w:rPr>
        <w:t xml:space="preserve"> M. </w:t>
      </w:r>
      <w:proofErr w:type="spellStart"/>
      <w:r w:rsidRPr="0016703E">
        <w:rPr>
          <w:rFonts w:ascii="Century Gothic" w:eastAsia="Arial" w:hAnsi="Century Gothic" w:cs="Arial"/>
          <w:sz w:val="24"/>
          <w:szCs w:val="24"/>
        </w:rPr>
        <w:t>Randomized</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clinical</w:t>
      </w:r>
      <w:proofErr w:type="spellEnd"/>
      <w:r w:rsidRPr="0016703E">
        <w:rPr>
          <w:rFonts w:ascii="Century Gothic" w:eastAsia="Arial" w:hAnsi="Century Gothic" w:cs="Arial"/>
          <w:sz w:val="24"/>
          <w:szCs w:val="24"/>
        </w:rPr>
        <w:t xml:space="preserve"> trial: </w:t>
      </w:r>
      <w:proofErr w:type="spellStart"/>
      <w:r w:rsidRPr="0016703E">
        <w:rPr>
          <w:rFonts w:ascii="Century Gothic" w:eastAsia="Arial" w:hAnsi="Century Gothic" w:cs="Arial"/>
          <w:sz w:val="24"/>
          <w:szCs w:val="24"/>
        </w:rPr>
        <w:t>Macrogol</w:t>
      </w:r>
      <w:proofErr w:type="spellEnd"/>
      <w:r w:rsidRPr="0016703E">
        <w:rPr>
          <w:rFonts w:ascii="Century Gothic" w:eastAsia="Arial" w:hAnsi="Century Gothic" w:cs="Arial"/>
          <w:sz w:val="24"/>
          <w:szCs w:val="24"/>
        </w:rPr>
        <w:t xml:space="preserve">/PEG 3350 plus </w:t>
      </w:r>
      <w:proofErr w:type="spellStart"/>
      <w:r w:rsidRPr="0016703E">
        <w:rPr>
          <w:rFonts w:ascii="Century Gothic" w:eastAsia="Arial" w:hAnsi="Century Gothic" w:cs="Arial"/>
          <w:sz w:val="24"/>
          <w:szCs w:val="24"/>
        </w:rPr>
        <w:t>electrolytes</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for</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treatment</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of</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patients</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with</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constipation</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associated</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with</w:t>
      </w:r>
      <w:proofErr w:type="spellEnd"/>
      <w:r w:rsidRPr="0016703E">
        <w:rPr>
          <w:rFonts w:ascii="Century Gothic" w:eastAsia="Arial" w:hAnsi="Century Gothic" w:cs="Arial"/>
          <w:sz w:val="24"/>
          <w:szCs w:val="24"/>
        </w:rPr>
        <w:t xml:space="preserve"> irritable </w:t>
      </w:r>
      <w:proofErr w:type="spellStart"/>
      <w:r w:rsidRPr="0016703E">
        <w:rPr>
          <w:rFonts w:ascii="Century Gothic" w:eastAsia="Arial" w:hAnsi="Century Gothic" w:cs="Arial"/>
          <w:sz w:val="24"/>
          <w:szCs w:val="24"/>
        </w:rPr>
        <w:t>bowel</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syndrome</w:t>
      </w:r>
      <w:proofErr w:type="spellEnd"/>
      <w:r w:rsidRPr="0016703E">
        <w:rPr>
          <w:rFonts w:ascii="Century Gothic" w:eastAsia="Arial" w:hAnsi="Century Gothic" w:cs="Arial"/>
          <w:sz w:val="24"/>
          <w:szCs w:val="24"/>
        </w:rPr>
        <w:t xml:space="preserve">. Am J </w:t>
      </w:r>
      <w:proofErr w:type="spellStart"/>
      <w:r w:rsidRPr="0016703E">
        <w:rPr>
          <w:rFonts w:ascii="Century Gothic" w:eastAsia="Arial" w:hAnsi="Century Gothic" w:cs="Arial"/>
          <w:sz w:val="24"/>
          <w:szCs w:val="24"/>
        </w:rPr>
        <w:t>Gastroenterol</w:t>
      </w:r>
      <w:proofErr w:type="spellEnd"/>
      <w:r w:rsidRPr="0016703E">
        <w:rPr>
          <w:rFonts w:ascii="Century Gothic" w:eastAsia="Arial" w:hAnsi="Century Gothic" w:cs="Arial"/>
          <w:sz w:val="24"/>
          <w:szCs w:val="24"/>
        </w:rPr>
        <w:t xml:space="preserve"> [Internet]. 2013 [citado el 22 de mayo de 2024];108(9):1508–15. Disponible en: </w:t>
      </w:r>
      <w:hyperlink r:id="rId44">
        <w:r w:rsidRPr="009F68C5">
          <w:rPr>
            <w:rFonts w:ascii="Century Gothic" w:eastAsia="Arial" w:hAnsi="Century Gothic" w:cs="Arial"/>
            <w:sz w:val="24"/>
            <w:szCs w:val="24"/>
          </w:rPr>
          <w:t>https://pubmed.ncbi.nlm.nih.gov/23835436/</w:t>
        </w:r>
      </w:hyperlink>
    </w:p>
    <w:p w14:paraId="24F7BD36"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5892A89E" w14:textId="77777777" w:rsidR="000505ED"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Lee-</w:t>
      </w:r>
      <w:proofErr w:type="spellStart"/>
      <w:r w:rsidRPr="0016703E">
        <w:rPr>
          <w:rFonts w:ascii="Century Gothic" w:eastAsia="Arial" w:hAnsi="Century Gothic" w:cs="Arial"/>
          <w:sz w:val="24"/>
          <w:szCs w:val="24"/>
          <w:highlight w:val="white"/>
        </w:rPr>
        <w:t>Robichaud</w:t>
      </w:r>
      <w:proofErr w:type="spellEnd"/>
      <w:r w:rsidRPr="0016703E">
        <w:rPr>
          <w:rFonts w:ascii="Century Gothic" w:eastAsia="Arial" w:hAnsi="Century Gothic" w:cs="Arial"/>
          <w:sz w:val="24"/>
          <w:szCs w:val="24"/>
          <w:highlight w:val="white"/>
        </w:rPr>
        <w:t xml:space="preserve"> H, Thomas K, Morgan J, Nelson RL. </w:t>
      </w:r>
      <w:proofErr w:type="spellStart"/>
      <w:r w:rsidRPr="0016703E">
        <w:rPr>
          <w:rFonts w:ascii="Century Gothic" w:eastAsia="Arial" w:hAnsi="Century Gothic" w:cs="Arial"/>
          <w:sz w:val="24"/>
          <w:szCs w:val="24"/>
          <w:highlight w:val="white"/>
        </w:rPr>
        <w:t>Lactulose</w:t>
      </w:r>
      <w:proofErr w:type="spellEnd"/>
      <w:r w:rsidRPr="0016703E">
        <w:rPr>
          <w:rFonts w:ascii="Century Gothic" w:eastAsia="Arial" w:hAnsi="Century Gothic" w:cs="Arial"/>
          <w:sz w:val="24"/>
          <w:szCs w:val="24"/>
          <w:highlight w:val="white"/>
        </w:rPr>
        <w:t xml:space="preserve"> versus </w:t>
      </w:r>
      <w:proofErr w:type="spellStart"/>
      <w:r w:rsidRPr="0016703E">
        <w:rPr>
          <w:rFonts w:ascii="Century Gothic" w:eastAsia="Arial" w:hAnsi="Century Gothic" w:cs="Arial"/>
          <w:sz w:val="24"/>
          <w:szCs w:val="24"/>
          <w:highlight w:val="white"/>
        </w:rPr>
        <w:t>polyethylene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glycol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Cochrane </w:t>
      </w:r>
      <w:proofErr w:type="spellStart"/>
      <w:r w:rsidRPr="0016703E">
        <w:rPr>
          <w:rFonts w:ascii="Century Gothic" w:eastAsia="Arial" w:hAnsi="Century Gothic" w:cs="Arial"/>
          <w:sz w:val="24"/>
          <w:szCs w:val="24"/>
          <w:highlight w:val="white"/>
        </w:rPr>
        <w:t>Libr</w:t>
      </w:r>
      <w:proofErr w:type="spellEnd"/>
      <w:r w:rsidRPr="0016703E">
        <w:rPr>
          <w:rFonts w:ascii="Century Gothic" w:eastAsia="Arial" w:hAnsi="Century Gothic" w:cs="Arial"/>
          <w:sz w:val="24"/>
          <w:szCs w:val="24"/>
          <w:highlight w:val="white"/>
        </w:rPr>
        <w:t xml:space="preserve"> [Internet]. 2010 [citado el 22 de mayo de 2024];(7). Disponible en: </w:t>
      </w:r>
      <w:hyperlink r:id="rId45">
        <w:r w:rsidRPr="009F68C5">
          <w:rPr>
            <w:rFonts w:ascii="Century Gothic" w:eastAsia="Arial" w:hAnsi="Century Gothic" w:cs="Arial"/>
            <w:sz w:val="24"/>
            <w:szCs w:val="24"/>
            <w:highlight w:val="white"/>
          </w:rPr>
          <w:t>https://pubmed.ncbi.nlm.nih.gov/20614462/</w:t>
        </w:r>
      </w:hyperlink>
    </w:p>
    <w:p w14:paraId="0D81B7A7"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0D5BA066"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proofErr w:type="spellStart"/>
      <w:r w:rsidRPr="0016703E">
        <w:rPr>
          <w:rFonts w:ascii="Century Gothic" w:eastAsia="Arial" w:hAnsi="Century Gothic" w:cs="Arial"/>
          <w:sz w:val="24"/>
          <w:szCs w:val="24"/>
          <w:highlight w:val="white"/>
        </w:rPr>
        <w:t>Quartero</w:t>
      </w:r>
      <w:proofErr w:type="spellEnd"/>
      <w:r w:rsidRPr="0016703E">
        <w:rPr>
          <w:rFonts w:ascii="Century Gothic" w:eastAsia="Arial" w:hAnsi="Century Gothic" w:cs="Arial"/>
          <w:sz w:val="24"/>
          <w:szCs w:val="24"/>
          <w:highlight w:val="white"/>
        </w:rPr>
        <w:t xml:space="preserve"> AO, </w:t>
      </w:r>
      <w:proofErr w:type="spellStart"/>
      <w:r w:rsidRPr="0016703E">
        <w:rPr>
          <w:rFonts w:ascii="Century Gothic" w:eastAsia="Arial" w:hAnsi="Century Gothic" w:cs="Arial"/>
          <w:sz w:val="24"/>
          <w:szCs w:val="24"/>
          <w:highlight w:val="white"/>
        </w:rPr>
        <w:t>Meiniche</w:t>
      </w:r>
      <w:proofErr w:type="spellEnd"/>
      <w:r w:rsidRPr="0016703E">
        <w:rPr>
          <w:rFonts w:ascii="Century Gothic" w:eastAsia="Arial" w:hAnsi="Century Gothic" w:cs="Arial"/>
          <w:sz w:val="24"/>
          <w:szCs w:val="24"/>
          <w:highlight w:val="white"/>
        </w:rPr>
        <w:t xml:space="preserve">-Schmidt V, </w:t>
      </w:r>
      <w:proofErr w:type="spellStart"/>
      <w:r w:rsidRPr="0016703E">
        <w:rPr>
          <w:rFonts w:ascii="Century Gothic" w:eastAsia="Arial" w:hAnsi="Century Gothic" w:cs="Arial"/>
          <w:sz w:val="24"/>
          <w:szCs w:val="24"/>
          <w:highlight w:val="white"/>
        </w:rPr>
        <w:t>Muris</w:t>
      </w:r>
      <w:proofErr w:type="spellEnd"/>
      <w:r w:rsidRPr="0016703E">
        <w:rPr>
          <w:rFonts w:ascii="Century Gothic" w:eastAsia="Arial" w:hAnsi="Century Gothic" w:cs="Arial"/>
          <w:sz w:val="24"/>
          <w:szCs w:val="24"/>
          <w:highlight w:val="white"/>
        </w:rPr>
        <w:t xml:space="preserve"> J, </w:t>
      </w:r>
      <w:proofErr w:type="spellStart"/>
      <w:r w:rsidRPr="0016703E">
        <w:rPr>
          <w:rFonts w:ascii="Century Gothic" w:eastAsia="Arial" w:hAnsi="Century Gothic" w:cs="Arial"/>
          <w:sz w:val="24"/>
          <w:szCs w:val="24"/>
          <w:highlight w:val="white"/>
        </w:rPr>
        <w:t>Rubin</w:t>
      </w:r>
      <w:proofErr w:type="spellEnd"/>
      <w:r w:rsidRPr="0016703E">
        <w:rPr>
          <w:rFonts w:ascii="Century Gothic" w:eastAsia="Arial" w:hAnsi="Century Gothic" w:cs="Arial"/>
          <w:sz w:val="24"/>
          <w:szCs w:val="24"/>
          <w:highlight w:val="white"/>
        </w:rPr>
        <w:t xml:space="preserve"> G, de </w:t>
      </w:r>
      <w:proofErr w:type="spellStart"/>
      <w:r w:rsidRPr="0016703E">
        <w:rPr>
          <w:rFonts w:ascii="Century Gothic" w:eastAsia="Arial" w:hAnsi="Century Gothic" w:cs="Arial"/>
          <w:sz w:val="24"/>
          <w:szCs w:val="24"/>
          <w:highlight w:val="white"/>
        </w:rPr>
        <w:t>Wit</w:t>
      </w:r>
      <w:proofErr w:type="spellEnd"/>
      <w:r w:rsidRPr="0016703E">
        <w:rPr>
          <w:rFonts w:ascii="Century Gothic" w:eastAsia="Arial" w:hAnsi="Century Gothic" w:cs="Arial"/>
          <w:sz w:val="24"/>
          <w:szCs w:val="24"/>
          <w:highlight w:val="white"/>
        </w:rPr>
        <w:t xml:space="preserve"> N. </w:t>
      </w:r>
      <w:proofErr w:type="spellStart"/>
      <w:r w:rsidRPr="0016703E">
        <w:rPr>
          <w:rFonts w:ascii="Century Gothic" w:eastAsia="Arial" w:hAnsi="Century Gothic" w:cs="Arial"/>
          <w:sz w:val="24"/>
          <w:szCs w:val="24"/>
          <w:highlight w:val="white"/>
        </w:rPr>
        <w:t>Bulking</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agents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antispasmodic</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antidepressant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medication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treatment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syndrome. En: </w:t>
      </w:r>
      <w:proofErr w:type="spellStart"/>
      <w:r w:rsidRPr="0016703E">
        <w:rPr>
          <w:rFonts w:ascii="Century Gothic" w:eastAsia="Arial" w:hAnsi="Century Gothic" w:cs="Arial"/>
          <w:sz w:val="24"/>
          <w:szCs w:val="24"/>
          <w:highlight w:val="white"/>
        </w:rPr>
        <w:t>Quartero</w:t>
      </w:r>
      <w:proofErr w:type="spellEnd"/>
      <w:r w:rsidRPr="0016703E">
        <w:rPr>
          <w:rFonts w:ascii="Century Gothic" w:eastAsia="Arial" w:hAnsi="Century Gothic" w:cs="Arial"/>
          <w:sz w:val="24"/>
          <w:szCs w:val="24"/>
          <w:highlight w:val="white"/>
        </w:rPr>
        <w:t xml:space="preserve"> AO, editor. Cochrane </w:t>
      </w:r>
      <w:proofErr w:type="spellStart"/>
      <w:r w:rsidRPr="0016703E">
        <w:rPr>
          <w:rFonts w:ascii="Century Gothic" w:eastAsia="Arial" w:hAnsi="Century Gothic" w:cs="Arial"/>
          <w:sz w:val="24"/>
          <w:szCs w:val="24"/>
          <w:highlight w:val="white"/>
        </w:rPr>
        <w:t>Database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Systematic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Reviews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Chichester</w:t>
      </w:r>
      <w:proofErr w:type="spellEnd"/>
      <w:r w:rsidRPr="0016703E">
        <w:rPr>
          <w:rFonts w:ascii="Century Gothic" w:eastAsia="Arial" w:hAnsi="Century Gothic" w:cs="Arial"/>
          <w:sz w:val="24"/>
          <w:szCs w:val="24"/>
          <w:highlight w:val="white"/>
        </w:rPr>
        <w:t xml:space="preserve">, UK: John Wiley &amp; </w:t>
      </w:r>
      <w:proofErr w:type="spellStart"/>
      <w:r w:rsidRPr="0016703E">
        <w:rPr>
          <w:rFonts w:ascii="Century Gothic" w:eastAsia="Arial" w:hAnsi="Century Gothic" w:cs="Arial"/>
          <w:sz w:val="24"/>
          <w:szCs w:val="24"/>
          <w:highlight w:val="white"/>
        </w:rPr>
        <w:t>Sons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Ltd</w:t>
      </w:r>
      <w:proofErr w:type="spellEnd"/>
      <w:r w:rsidRPr="0016703E">
        <w:rPr>
          <w:rFonts w:ascii="Century Gothic" w:eastAsia="Arial" w:hAnsi="Century Gothic" w:cs="Arial"/>
          <w:sz w:val="24"/>
          <w:szCs w:val="24"/>
          <w:highlight w:val="white"/>
        </w:rPr>
        <w:t>; 2005.</w:t>
      </w:r>
    </w:p>
    <w:p w14:paraId="0F252B38"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lastRenderedPageBreak/>
        <w:t xml:space="preserve">Camilleri M, </w:t>
      </w:r>
      <w:proofErr w:type="spellStart"/>
      <w:r w:rsidRPr="0016703E">
        <w:rPr>
          <w:rFonts w:ascii="Century Gothic" w:eastAsia="Arial" w:hAnsi="Century Gothic" w:cs="Arial"/>
          <w:sz w:val="24"/>
          <w:szCs w:val="24"/>
          <w:highlight w:val="white"/>
        </w:rPr>
        <w:t>Kerstens</w:t>
      </w:r>
      <w:proofErr w:type="spellEnd"/>
      <w:r w:rsidRPr="0016703E">
        <w:rPr>
          <w:rFonts w:ascii="Century Gothic" w:eastAsia="Arial" w:hAnsi="Century Gothic" w:cs="Arial"/>
          <w:sz w:val="24"/>
          <w:szCs w:val="24"/>
          <w:highlight w:val="white"/>
        </w:rPr>
        <w:t xml:space="preserve"> R, </w:t>
      </w:r>
      <w:proofErr w:type="spellStart"/>
      <w:r w:rsidRPr="0016703E">
        <w:rPr>
          <w:rFonts w:ascii="Century Gothic" w:eastAsia="Arial" w:hAnsi="Century Gothic" w:cs="Arial"/>
          <w:sz w:val="24"/>
          <w:szCs w:val="24"/>
          <w:highlight w:val="white"/>
        </w:rPr>
        <w:t>Rykx</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Vandeplassche</w:t>
      </w:r>
      <w:proofErr w:type="spellEnd"/>
      <w:r w:rsidRPr="0016703E">
        <w:rPr>
          <w:rFonts w:ascii="Century Gothic" w:eastAsia="Arial" w:hAnsi="Century Gothic" w:cs="Arial"/>
          <w:sz w:val="24"/>
          <w:szCs w:val="24"/>
          <w:highlight w:val="white"/>
        </w:rPr>
        <w:t xml:space="preserve"> L. A placebo-</w:t>
      </w:r>
      <w:proofErr w:type="spellStart"/>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trial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prucalopride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for</w:t>
      </w:r>
      <w:proofErr w:type="spellEnd"/>
      <w:r w:rsidRPr="0016703E">
        <w:rPr>
          <w:rFonts w:ascii="Century Gothic" w:eastAsia="Arial" w:hAnsi="Century Gothic" w:cs="Arial"/>
          <w:sz w:val="24"/>
          <w:szCs w:val="24"/>
          <w:highlight w:val="white"/>
        </w:rPr>
        <w:t xml:space="preserve"> severe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N Engl J </w:t>
      </w:r>
      <w:proofErr w:type="spellStart"/>
      <w:r w:rsidRPr="0016703E">
        <w:rPr>
          <w:rFonts w:ascii="Century Gothic" w:eastAsia="Arial" w:hAnsi="Century Gothic" w:cs="Arial"/>
          <w:sz w:val="24"/>
          <w:szCs w:val="24"/>
          <w:highlight w:val="white"/>
        </w:rPr>
        <w:t>Med</w:t>
      </w:r>
      <w:proofErr w:type="spellEnd"/>
      <w:r w:rsidRPr="0016703E">
        <w:rPr>
          <w:rFonts w:ascii="Century Gothic" w:eastAsia="Arial" w:hAnsi="Century Gothic" w:cs="Arial"/>
          <w:sz w:val="24"/>
          <w:szCs w:val="24"/>
          <w:highlight w:val="white"/>
        </w:rPr>
        <w:t xml:space="preserve"> [Internet]. 2008;358(22):2344–54. Disponible en: </w:t>
      </w:r>
      <w:hyperlink r:id="rId46">
        <w:r w:rsidRPr="009F68C5">
          <w:rPr>
            <w:rFonts w:ascii="Century Gothic" w:eastAsia="Arial" w:hAnsi="Century Gothic" w:cs="Arial"/>
            <w:sz w:val="24"/>
            <w:szCs w:val="24"/>
            <w:highlight w:val="white"/>
          </w:rPr>
          <w:t>http://dx.doi.org/10.1056/nejmoa0800670</w:t>
        </w:r>
      </w:hyperlink>
    </w:p>
    <w:p w14:paraId="06933E44" w14:textId="77777777" w:rsidR="009F68C5" w:rsidRPr="0016703E" w:rsidRDefault="009F68C5" w:rsidP="009F68C5">
      <w:pPr>
        <w:pBdr>
          <w:top w:val="nil"/>
          <w:left w:val="nil"/>
          <w:bottom w:val="nil"/>
          <w:right w:val="nil"/>
          <w:between w:val="nil"/>
        </w:pBdr>
        <w:spacing w:after="0" w:line="240" w:lineRule="auto"/>
        <w:ind w:left="360"/>
        <w:jc w:val="both"/>
        <w:rPr>
          <w:rFonts w:ascii="Century Gothic" w:eastAsia="Arial" w:hAnsi="Century Gothic" w:cs="Arial"/>
          <w:sz w:val="24"/>
          <w:szCs w:val="24"/>
        </w:rPr>
      </w:pPr>
    </w:p>
    <w:p w14:paraId="1FF7C5BC"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rPr>
        <w:t>Tack</w:t>
      </w:r>
      <w:proofErr w:type="spellEnd"/>
      <w:r w:rsidRPr="0016703E">
        <w:rPr>
          <w:rFonts w:ascii="Century Gothic" w:eastAsia="Arial" w:hAnsi="Century Gothic" w:cs="Arial"/>
          <w:sz w:val="24"/>
          <w:szCs w:val="24"/>
        </w:rPr>
        <w:t xml:space="preserve"> J, van </w:t>
      </w:r>
      <w:proofErr w:type="spellStart"/>
      <w:r w:rsidRPr="0016703E">
        <w:rPr>
          <w:rFonts w:ascii="Century Gothic" w:eastAsia="Arial" w:hAnsi="Century Gothic" w:cs="Arial"/>
          <w:sz w:val="24"/>
          <w:szCs w:val="24"/>
        </w:rPr>
        <w:t>Outryve</w:t>
      </w:r>
      <w:proofErr w:type="spellEnd"/>
      <w:r w:rsidRPr="0016703E">
        <w:rPr>
          <w:rFonts w:ascii="Century Gothic" w:eastAsia="Arial" w:hAnsi="Century Gothic" w:cs="Arial"/>
          <w:sz w:val="24"/>
          <w:szCs w:val="24"/>
        </w:rPr>
        <w:t xml:space="preserve"> M, </w:t>
      </w:r>
      <w:proofErr w:type="spellStart"/>
      <w:r w:rsidRPr="0016703E">
        <w:rPr>
          <w:rFonts w:ascii="Century Gothic" w:eastAsia="Arial" w:hAnsi="Century Gothic" w:cs="Arial"/>
          <w:sz w:val="24"/>
          <w:szCs w:val="24"/>
        </w:rPr>
        <w:t>Beyens</w:t>
      </w:r>
      <w:proofErr w:type="spellEnd"/>
      <w:r w:rsidRPr="0016703E">
        <w:rPr>
          <w:rFonts w:ascii="Century Gothic" w:eastAsia="Arial" w:hAnsi="Century Gothic" w:cs="Arial"/>
          <w:sz w:val="24"/>
          <w:szCs w:val="24"/>
        </w:rPr>
        <w:t xml:space="preserve"> G, </w:t>
      </w:r>
      <w:proofErr w:type="spellStart"/>
      <w:r w:rsidRPr="0016703E">
        <w:rPr>
          <w:rFonts w:ascii="Century Gothic" w:eastAsia="Arial" w:hAnsi="Century Gothic" w:cs="Arial"/>
          <w:sz w:val="24"/>
          <w:szCs w:val="24"/>
        </w:rPr>
        <w:t>Kerstens</w:t>
      </w:r>
      <w:proofErr w:type="spellEnd"/>
      <w:r w:rsidRPr="0016703E">
        <w:rPr>
          <w:rFonts w:ascii="Century Gothic" w:eastAsia="Arial" w:hAnsi="Century Gothic" w:cs="Arial"/>
          <w:sz w:val="24"/>
          <w:szCs w:val="24"/>
        </w:rPr>
        <w:t xml:space="preserve"> R, </w:t>
      </w:r>
      <w:proofErr w:type="spellStart"/>
      <w:r w:rsidRPr="0016703E">
        <w:rPr>
          <w:rFonts w:ascii="Century Gothic" w:eastAsia="Arial" w:hAnsi="Century Gothic" w:cs="Arial"/>
          <w:sz w:val="24"/>
          <w:szCs w:val="24"/>
        </w:rPr>
        <w:t>Vandeplassche</w:t>
      </w:r>
      <w:proofErr w:type="spellEnd"/>
      <w:r w:rsidRPr="0016703E">
        <w:rPr>
          <w:rFonts w:ascii="Century Gothic" w:eastAsia="Arial" w:hAnsi="Century Gothic" w:cs="Arial"/>
          <w:sz w:val="24"/>
          <w:szCs w:val="24"/>
        </w:rPr>
        <w:t xml:space="preserve"> L. </w:t>
      </w:r>
      <w:proofErr w:type="spellStart"/>
      <w:r w:rsidRPr="0016703E">
        <w:rPr>
          <w:rFonts w:ascii="Century Gothic" w:eastAsia="Arial" w:hAnsi="Century Gothic" w:cs="Arial"/>
          <w:sz w:val="24"/>
          <w:szCs w:val="24"/>
        </w:rPr>
        <w:t>Prucalopride</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Resolor</w:t>
      </w:r>
      <w:proofErr w:type="spellEnd"/>
      <w:r w:rsidRPr="0016703E">
        <w:rPr>
          <w:rFonts w:ascii="Century Gothic" w:eastAsia="Arial" w:hAnsi="Century Gothic" w:cs="Arial"/>
          <w:sz w:val="24"/>
          <w:szCs w:val="24"/>
        </w:rPr>
        <w:t xml:space="preserve">) in </w:t>
      </w:r>
      <w:proofErr w:type="spellStart"/>
      <w:r w:rsidRPr="0016703E">
        <w:rPr>
          <w:rFonts w:ascii="Century Gothic" w:eastAsia="Arial" w:hAnsi="Century Gothic" w:cs="Arial"/>
          <w:sz w:val="24"/>
          <w:szCs w:val="24"/>
        </w:rPr>
        <w:t>the</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treatment</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of</w:t>
      </w:r>
      <w:proofErr w:type="spellEnd"/>
      <w:r w:rsidRPr="0016703E">
        <w:rPr>
          <w:rFonts w:ascii="Century Gothic" w:eastAsia="Arial" w:hAnsi="Century Gothic" w:cs="Arial"/>
          <w:sz w:val="24"/>
          <w:szCs w:val="24"/>
        </w:rPr>
        <w:t xml:space="preserve"> severe </w:t>
      </w:r>
      <w:proofErr w:type="spellStart"/>
      <w:r w:rsidRPr="0016703E">
        <w:rPr>
          <w:rFonts w:ascii="Century Gothic" w:eastAsia="Arial" w:hAnsi="Century Gothic" w:cs="Arial"/>
          <w:sz w:val="24"/>
          <w:szCs w:val="24"/>
        </w:rPr>
        <w:t>chronic</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constipation</w:t>
      </w:r>
      <w:proofErr w:type="spellEnd"/>
      <w:r w:rsidRPr="0016703E">
        <w:rPr>
          <w:rFonts w:ascii="Century Gothic" w:eastAsia="Arial" w:hAnsi="Century Gothic" w:cs="Arial"/>
          <w:sz w:val="24"/>
          <w:szCs w:val="24"/>
        </w:rPr>
        <w:t xml:space="preserve"> in </w:t>
      </w:r>
      <w:proofErr w:type="spellStart"/>
      <w:r w:rsidRPr="0016703E">
        <w:rPr>
          <w:rFonts w:ascii="Century Gothic" w:eastAsia="Arial" w:hAnsi="Century Gothic" w:cs="Arial"/>
          <w:sz w:val="24"/>
          <w:szCs w:val="24"/>
        </w:rPr>
        <w:t>patients</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dissatisfied</w:t>
      </w:r>
      <w:proofErr w:type="spellEnd"/>
      <w:r w:rsidRPr="0016703E">
        <w:rPr>
          <w:rFonts w:ascii="Century Gothic" w:eastAsia="Arial" w:hAnsi="Century Gothic" w:cs="Arial"/>
          <w:sz w:val="24"/>
          <w:szCs w:val="24"/>
        </w:rPr>
        <w:t xml:space="preserve"> </w:t>
      </w:r>
      <w:proofErr w:type="spellStart"/>
      <w:r w:rsidRPr="0016703E">
        <w:rPr>
          <w:rFonts w:ascii="Century Gothic" w:eastAsia="Arial" w:hAnsi="Century Gothic" w:cs="Arial"/>
          <w:sz w:val="24"/>
          <w:szCs w:val="24"/>
        </w:rPr>
        <w:t>with</w:t>
      </w:r>
      <w:proofErr w:type="spellEnd"/>
      <w:r w:rsidRPr="0016703E">
        <w:rPr>
          <w:rFonts w:ascii="Century Gothic" w:eastAsia="Arial" w:hAnsi="Century Gothic" w:cs="Arial"/>
          <w:sz w:val="24"/>
          <w:szCs w:val="24"/>
        </w:rPr>
        <w:t xml:space="preserve"> laxatives. </w:t>
      </w:r>
      <w:proofErr w:type="spellStart"/>
      <w:r w:rsidRPr="0016703E">
        <w:rPr>
          <w:rFonts w:ascii="Century Gothic" w:eastAsia="Arial" w:hAnsi="Century Gothic" w:cs="Arial"/>
          <w:sz w:val="24"/>
          <w:szCs w:val="24"/>
        </w:rPr>
        <w:t>Gut</w:t>
      </w:r>
      <w:proofErr w:type="spellEnd"/>
      <w:r w:rsidRPr="0016703E">
        <w:rPr>
          <w:rFonts w:ascii="Century Gothic" w:eastAsia="Arial" w:hAnsi="Century Gothic" w:cs="Arial"/>
          <w:sz w:val="24"/>
          <w:szCs w:val="24"/>
        </w:rPr>
        <w:t xml:space="preserve"> [Internet]. 2009 [citado el 22 de mayo de 2024];58(3):357–65. Disponible en: </w:t>
      </w:r>
      <w:hyperlink r:id="rId47">
        <w:r w:rsidRPr="009F68C5">
          <w:rPr>
            <w:rFonts w:ascii="Century Gothic" w:eastAsia="Arial" w:hAnsi="Century Gothic" w:cs="Arial"/>
            <w:sz w:val="24"/>
            <w:szCs w:val="24"/>
          </w:rPr>
          <w:t>https://pubmed.ncbi.nlm.nih.gov/18987031/</w:t>
        </w:r>
      </w:hyperlink>
    </w:p>
    <w:p w14:paraId="799B2D00"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7F696E39"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Quigley</w:t>
      </w:r>
      <w:proofErr w:type="spellEnd"/>
      <w:r w:rsidRPr="0016703E">
        <w:rPr>
          <w:rFonts w:ascii="Century Gothic" w:eastAsia="Arial" w:hAnsi="Century Gothic" w:cs="Arial"/>
          <w:sz w:val="24"/>
          <w:szCs w:val="24"/>
          <w:highlight w:val="white"/>
        </w:rPr>
        <w:t xml:space="preserve"> EMM, </w:t>
      </w:r>
      <w:proofErr w:type="spellStart"/>
      <w:r w:rsidRPr="0016703E">
        <w:rPr>
          <w:rFonts w:ascii="Century Gothic" w:eastAsia="Arial" w:hAnsi="Century Gothic" w:cs="Arial"/>
          <w:sz w:val="24"/>
          <w:szCs w:val="24"/>
          <w:highlight w:val="white"/>
        </w:rPr>
        <w:t>Vandeplassche</w:t>
      </w:r>
      <w:proofErr w:type="spellEnd"/>
      <w:r w:rsidRPr="0016703E">
        <w:rPr>
          <w:rFonts w:ascii="Century Gothic" w:eastAsia="Arial" w:hAnsi="Century Gothic" w:cs="Arial"/>
          <w:sz w:val="24"/>
          <w:szCs w:val="24"/>
          <w:highlight w:val="white"/>
        </w:rPr>
        <w:t xml:space="preserve"> L, </w:t>
      </w:r>
      <w:proofErr w:type="spellStart"/>
      <w:r w:rsidRPr="0016703E">
        <w:rPr>
          <w:rFonts w:ascii="Century Gothic" w:eastAsia="Arial" w:hAnsi="Century Gothic" w:cs="Arial"/>
          <w:sz w:val="24"/>
          <w:szCs w:val="24"/>
          <w:highlight w:val="white"/>
        </w:rPr>
        <w:t>Kerstens</w:t>
      </w:r>
      <w:proofErr w:type="spellEnd"/>
      <w:r w:rsidRPr="0016703E">
        <w:rPr>
          <w:rFonts w:ascii="Century Gothic" w:eastAsia="Arial" w:hAnsi="Century Gothic" w:cs="Arial"/>
          <w:sz w:val="24"/>
          <w:szCs w:val="24"/>
          <w:highlight w:val="white"/>
        </w:rPr>
        <w:t xml:space="preserve"> R, </w:t>
      </w:r>
      <w:proofErr w:type="spellStart"/>
      <w:r w:rsidRPr="0016703E">
        <w:rPr>
          <w:rFonts w:ascii="Century Gothic" w:eastAsia="Arial" w:hAnsi="Century Gothic" w:cs="Arial"/>
          <w:sz w:val="24"/>
          <w:szCs w:val="24"/>
          <w:highlight w:val="white"/>
        </w:rPr>
        <w:t>Ausma</w:t>
      </w:r>
      <w:proofErr w:type="spellEnd"/>
      <w:r w:rsidRPr="0016703E">
        <w:rPr>
          <w:rFonts w:ascii="Century Gothic" w:eastAsia="Arial" w:hAnsi="Century Gothic" w:cs="Arial"/>
          <w:sz w:val="24"/>
          <w:szCs w:val="24"/>
          <w:highlight w:val="white"/>
        </w:rPr>
        <w:t xml:space="preserve"> J. </w:t>
      </w:r>
      <w:proofErr w:type="spellStart"/>
      <w:r w:rsidRPr="0016703E">
        <w:rPr>
          <w:rFonts w:ascii="Century Gothic" w:eastAsia="Arial" w:hAnsi="Century Gothic" w:cs="Arial"/>
          <w:sz w:val="24"/>
          <w:szCs w:val="24"/>
          <w:highlight w:val="white"/>
        </w:rPr>
        <w:t>Clinical</w:t>
      </w:r>
      <w:proofErr w:type="spellEnd"/>
      <w:r w:rsidRPr="0016703E">
        <w:rPr>
          <w:rFonts w:ascii="Century Gothic" w:eastAsia="Arial" w:hAnsi="Century Gothic" w:cs="Arial"/>
          <w:sz w:val="24"/>
          <w:szCs w:val="24"/>
          <w:highlight w:val="white"/>
        </w:rPr>
        <w:t xml:space="preserve"> trial: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efficacy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impact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on</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quality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life</w:t>
      </w:r>
      <w:proofErr w:type="spellEnd"/>
      <w:r w:rsidRPr="0016703E">
        <w:rPr>
          <w:rFonts w:ascii="Century Gothic" w:eastAsia="Arial" w:hAnsi="Century Gothic" w:cs="Arial"/>
          <w:sz w:val="24"/>
          <w:szCs w:val="24"/>
          <w:highlight w:val="white"/>
        </w:rPr>
        <w:t xml:space="preserve">, and safety and </w:t>
      </w:r>
      <w:proofErr w:type="spellStart"/>
      <w:r w:rsidRPr="0016703E">
        <w:rPr>
          <w:rFonts w:ascii="Century Gothic" w:eastAsia="Arial" w:hAnsi="Century Gothic" w:cs="Arial"/>
          <w:sz w:val="24"/>
          <w:szCs w:val="24"/>
          <w:highlight w:val="white"/>
        </w:rPr>
        <w:t>tolerability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prucalopride</w:t>
      </w:r>
      <w:proofErr w:type="spellEnd"/>
      <w:r w:rsidRPr="0016703E">
        <w:rPr>
          <w:rFonts w:ascii="Century Gothic" w:eastAsia="Arial" w:hAnsi="Century Gothic" w:cs="Arial"/>
          <w:sz w:val="24"/>
          <w:szCs w:val="24"/>
          <w:highlight w:val="white"/>
        </w:rPr>
        <w:t xml:space="preserve"> in severe </w:t>
      </w:r>
      <w:proofErr w:type="spellStart"/>
      <w:r w:rsidRPr="0016703E">
        <w:rPr>
          <w:rFonts w:ascii="Century Gothic" w:eastAsia="Arial" w:hAnsi="Century Gothic" w:cs="Arial"/>
          <w:sz w:val="24"/>
          <w:szCs w:val="24"/>
          <w:highlight w:val="white"/>
        </w:rPr>
        <w:t>chronic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constipation</w:t>
      </w:r>
      <w:proofErr w:type="spellEnd"/>
      <w:r w:rsidRPr="0016703E">
        <w:rPr>
          <w:rFonts w:ascii="Century Gothic" w:eastAsia="Arial" w:hAnsi="Century Gothic" w:cs="Arial"/>
          <w:sz w:val="24"/>
          <w:szCs w:val="24"/>
          <w:highlight w:val="white"/>
        </w:rPr>
        <w:t xml:space="preserve"> – a 12</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 xml:space="preserve">week, </w:t>
      </w:r>
      <w:proofErr w:type="spellStart"/>
      <w:r w:rsidRPr="0016703E">
        <w:rPr>
          <w:rFonts w:ascii="Century Gothic" w:eastAsia="Arial" w:hAnsi="Century Gothic" w:cs="Arial"/>
          <w:sz w:val="24"/>
          <w:szCs w:val="24"/>
          <w:highlight w:val="white"/>
        </w:rPr>
        <w:t>randomized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double</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blind</w:t>
      </w:r>
      <w:proofErr w:type="spellEnd"/>
      <w:r w:rsidRPr="0016703E">
        <w:rPr>
          <w:rFonts w:ascii="Century Gothic" w:eastAsia="Arial" w:hAnsi="Century Gothic" w:cs="Arial"/>
          <w:sz w:val="24"/>
          <w:szCs w:val="24"/>
          <w:highlight w:val="white"/>
        </w:rPr>
        <w:t>, placebo</w:t>
      </w:r>
      <w:r w:rsidRPr="0016703E">
        <w:rPr>
          <w:rFonts w:ascii="Cambria Math" w:eastAsia="Arial" w:hAnsi="Cambria Math" w:cs="Cambria Math"/>
          <w:sz w:val="24"/>
          <w:szCs w:val="24"/>
          <w:highlight w:val="white"/>
        </w:rPr>
        <w:t>‐</w:t>
      </w:r>
      <w:proofErr w:type="spellStart"/>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study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Aliment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Pharmacol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w:t>
      </w:r>
      <w:proofErr w:type="spellEnd"/>
      <w:r w:rsidRPr="0016703E">
        <w:rPr>
          <w:rFonts w:ascii="Century Gothic" w:eastAsia="Arial" w:hAnsi="Century Gothic" w:cs="Arial"/>
          <w:sz w:val="24"/>
          <w:szCs w:val="24"/>
          <w:highlight w:val="white"/>
        </w:rPr>
        <w:t xml:space="preserve"> [Internet]. 2009;29(3):315</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28. Disponible en: </w:t>
      </w:r>
      <w:hyperlink r:id="rId48">
        <w:r w:rsidRPr="009F68C5">
          <w:rPr>
            <w:rFonts w:ascii="Century Gothic" w:eastAsia="Arial" w:hAnsi="Century Gothic" w:cs="Arial"/>
            <w:sz w:val="24"/>
            <w:szCs w:val="24"/>
            <w:highlight w:val="white"/>
          </w:rPr>
          <w:t>http://dx.doi.org/10.1111/j.1365-2036.2008.03884.x</w:t>
        </w:r>
      </w:hyperlink>
    </w:p>
    <w:p w14:paraId="03B86899"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0AB67201"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Ford AC, </w:t>
      </w:r>
      <w:proofErr w:type="spellStart"/>
      <w:r w:rsidRPr="0016703E">
        <w:rPr>
          <w:rFonts w:ascii="Century Gothic" w:eastAsia="Arial" w:hAnsi="Century Gothic" w:cs="Arial"/>
          <w:sz w:val="24"/>
          <w:szCs w:val="24"/>
          <w:highlight w:val="white"/>
        </w:rPr>
        <w:t>Talley</w:t>
      </w:r>
      <w:proofErr w:type="spellEnd"/>
      <w:r w:rsidRPr="0016703E">
        <w:rPr>
          <w:rFonts w:ascii="Century Gothic" w:eastAsia="Arial" w:hAnsi="Century Gothic" w:cs="Arial"/>
          <w:sz w:val="24"/>
          <w:szCs w:val="24"/>
          <w:highlight w:val="white"/>
        </w:rPr>
        <w:t xml:space="preserve"> NJ, Schoenfeld PS, </w:t>
      </w:r>
      <w:proofErr w:type="spellStart"/>
      <w:r w:rsidRPr="0016703E">
        <w:rPr>
          <w:rFonts w:ascii="Century Gothic" w:eastAsia="Arial" w:hAnsi="Century Gothic" w:cs="Arial"/>
          <w:sz w:val="24"/>
          <w:szCs w:val="24"/>
          <w:highlight w:val="white"/>
        </w:rPr>
        <w:t>Quigley</w:t>
      </w:r>
      <w:proofErr w:type="spellEnd"/>
      <w:r w:rsidRPr="0016703E">
        <w:rPr>
          <w:rFonts w:ascii="Century Gothic" w:eastAsia="Arial" w:hAnsi="Century Gothic" w:cs="Arial"/>
          <w:sz w:val="24"/>
          <w:szCs w:val="24"/>
          <w:highlight w:val="white"/>
        </w:rPr>
        <w:t xml:space="preserve"> EMM, </w:t>
      </w:r>
      <w:proofErr w:type="spellStart"/>
      <w:r w:rsidRPr="0016703E">
        <w:rPr>
          <w:rFonts w:ascii="Century Gothic" w:eastAsia="Arial" w:hAnsi="Century Gothic" w:cs="Arial"/>
          <w:sz w:val="24"/>
          <w:szCs w:val="24"/>
          <w:highlight w:val="white"/>
        </w:rPr>
        <w:t>Moayyedi</w:t>
      </w:r>
      <w:proofErr w:type="spellEnd"/>
      <w:r w:rsidRPr="0016703E">
        <w:rPr>
          <w:rFonts w:ascii="Century Gothic" w:eastAsia="Arial" w:hAnsi="Century Gothic" w:cs="Arial"/>
          <w:sz w:val="24"/>
          <w:szCs w:val="24"/>
          <w:highlight w:val="white"/>
        </w:rPr>
        <w:t xml:space="preserve"> P. </w:t>
      </w:r>
      <w:proofErr w:type="spellStart"/>
      <w:r w:rsidRPr="0016703E">
        <w:rPr>
          <w:rFonts w:ascii="Century Gothic" w:eastAsia="Arial" w:hAnsi="Century Gothic" w:cs="Arial"/>
          <w:sz w:val="24"/>
          <w:szCs w:val="24"/>
          <w:highlight w:val="white"/>
        </w:rPr>
        <w:t>Efficacy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antidepressants</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psychological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therapies</w:t>
      </w:r>
      <w:proofErr w:type="spellEnd"/>
      <w:r w:rsidRPr="0016703E">
        <w:rPr>
          <w:rFonts w:ascii="Century Gothic" w:eastAsia="Arial" w:hAnsi="Century Gothic" w:cs="Arial"/>
          <w:sz w:val="24"/>
          <w:szCs w:val="24"/>
          <w:highlight w:val="white"/>
        </w:rPr>
        <w:t xml:space="preserve"> in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syndrome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systematic</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review</w:t>
      </w:r>
      <w:proofErr w:type="spellEnd"/>
      <w:r w:rsidRPr="0016703E">
        <w:rPr>
          <w:rFonts w:ascii="Century Gothic" w:eastAsia="Arial" w:hAnsi="Century Gothic" w:cs="Arial"/>
          <w:sz w:val="24"/>
          <w:szCs w:val="24"/>
          <w:highlight w:val="white"/>
        </w:rPr>
        <w:t xml:space="preserve"> and meta-</w:t>
      </w:r>
      <w:proofErr w:type="spellStart"/>
      <w:r w:rsidRPr="0016703E">
        <w:rPr>
          <w:rFonts w:ascii="Century Gothic" w:eastAsia="Arial" w:hAnsi="Century Gothic" w:cs="Arial"/>
          <w:sz w:val="24"/>
          <w:szCs w:val="24"/>
          <w:highlight w:val="white"/>
        </w:rPr>
        <w:t>analysis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Gut</w:t>
      </w:r>
      <w:proofErr w:type="spellEnd"/>
      <w:r w:rsidRPr="0016703E">
        <w:rPr>
          <w:rFonts w:ascii="Century Gothic" w:eastAsia="Arial" w:hAnsi="Century Gothic" w:cs="Arial"/>
          <w:sz w:val="24"/>
          <w:szCs w:val="24"/>
          <w:highlight w:val="white"/>
        </w:rPr>
        <w:t xml:space="preserve"> [Internet]. 2009 [citado el 23 de mayo de 2024];58(3):367–78. Disponible en: </w:t>
      </w:r>
      <w:hyperlink r:id="rId49">
        <w:r w:rsidRPr="009F68C5">
          <w:rPr>
            <w:rFonts w:ascii="Century Gothic" w:eastAsia="Arial" w:hAnsi="Century Gothic" w:cs="Arial"/>
            <w:sz w:val="24"/>
            <w:szCs w:val="24"/>
            <w:highlight w:val="white"/>
          </w:rPr>
          <w:t>https://pubmed.ncbi.nlm.nih.gov/19001059/</w:t>
        </w:r>
      </w:hyperlink>
    </w:p>
    <w:p w14:paraId="59295DC8"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1440360E"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proofErr w:type="spellStart"/>
      <w:r w:rsidRPr="0016703E">
        <w:rPr>
          <w:rFonts w:ascii="Century Gothic" w:eastAsia="Arial" w:hAnsi="Century Gothic" w:cs="Arial"/>
          <w:sz w:val="24"/>
          <w:szCs w:val="24"/>
          <w:highlight w:val="white"/>
        </w:rPr>
        <w:t>Vahedi</w:t>
      </w:r>
      <w:proofErr w:type="spellEnd"/>
      <w:r w:rsidRPr="0016703E">
        <w:rPr>
          <w:rFonts w:ascii="Century Gothic" w:eastAsia="Arial" w:hAnsi="Century Gothic" w:cs="Arial"/>
          <w:sz w:val="24"/>
          <w:szCs w:val="24"/>
          <w:highlight w:val="white"/>
        </w:rPr>
        <w:t xml:space="preserve"> H, </w:t>
      </w:r>
      <w:proofErr w:type="spellStart"/>
      <w:r w:rsidRPr="0016703E">
        <w:rPr>
          <w:rFonts w:ascii="Century Gothic" w:eastAsia="Arial" w:hAnsi="Century Gothic" w:cs="Arial"/>
          <w:sz w:val="24"/>
          <w:szCs w:val="24"/>
          <w:highlight w:val="white"/>
        </w:rPr>
        <w:t>Merat</w:t>
      </w:r>
      <w:proofErr w:type="spellEnd"/>
      <w:r w:rsidRPr="0016703E">
        <w:rPr>
          <w:rFonts w:ascii="Century Gothic" w:eastAsia="Arial" w:hAnsi="Century Gothic" w:cs="Arial"/>
          <w:sz w:val="24"/>
          <w:szCs w:val="24"/>
          <w:highlight w:val="white"/>
        </w:rPr>
        <w:t xml:space="preserve"> S, </w:t>
      </w:r>
      <w:proofErr w:type="spellStart"/>
      <w:r w:rsidRPr="0016703E">
        <w:rPr>
          <w:rFonts w:ascii="Century Gothic" w:eastAsia="Arial" w:hAnsi="Century Gothic" w:cs="Arial"/>
          <w:sz w:val="24"/>
          <w:szCs w:val="24"/>
          <w:highlight w:val="white"/>
        </w:rPr>
        <w:t>Rashidioon</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Ghoddoosi</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Malekzadeh</w:t>
      </w:r>
      <w:proofErr w:type="spellEnd"/>
      <w:r w:rsidRPr="0016703E">
        <w:rPr>
          <w:rFonts w:ascii="Century Gothic" w:eastAsia="Arial" w:hAnsi="Century Gothic" w:cs="Arial"/>
          <w:sz w:val="24"/>
          <w:szCs w:val="24"/>
          <w:highlight w:val="white"/>
        </w:rPr>
        <w:t xml:space="preserve"> R. </w:t>
      </w:r>
      <w:proofErr w:type="spellStart"/>
      <w:r w:rsidRPr="0016703E">
        <w:rPr>
          <w:rFonts w:ascii="Century Gothic" w:eastAsia="Arial" w:hAnsi="Century Gothic" w:cs="Arial"/>
          <w:sz w:val="24"/>
          <w:szCs w:val="24"/>
          <w:highlight w:val="white"/>
        </w:rPr>
        <w:t>The</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effect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of</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fluoxetine</w:t>
      </w:r>
      <w:proofErr w:type="spellEnd"/>
      <w:r w:rsidRPr="0016703E">
        <w:rPr>
          <w:rFonts w:ascii="Century Gothic" w:eastAsia="Arial" w:hAnsi="Century Gothic" w:cs="Arial"/>
          <w:sz w:val="24"/>
          <w:szCs w:val="24"/>
          <w:highlight w:val="white"/>
        </w:rPr>
        <w:t xml:space="preserve"> in </w:t>
      </w:r>
      <w:proofErr w:type="spellStart"/>
      <w:r w:rsidRPr="0016703E">
        <w:rPr>
          <w:rFonts w:ascii="Century Gothic" w:eastAsia="Arial" w:hAnsi="Century Gothic" w:cs="Arial"/>
          <w:sz w:val="24"/>
          <w:szCs w:val="24"/>
          <w:highlight w:val="white"/>
        </w:rPr>
        <w:t>patients</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with</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pain</w:t>
      </w:r>
      <w:proofErr w:type="spellEnd"/>
      <w:r w:rsidRPr="0016703E">
        <w:rPr>
          <w:rFonts w:ascii="Century Gothic" w:eastAsia="Arial" w:hAnsi="Century Gothic" w:cs="Arial"/>
          <w:sz w:val="24"/>
          <w:szCs w:val="24"/>
          <w:highlight w:val="white"/>
        </w:rPr>
        <w:t xml:space="preserve"> and </w:t>
      </w:r>
      <w:proofErr w:type="spellStart"/>
      <w:r w:rsidRPr="0016703E">
        <w:rPr>
          <w:rFonts w:ascii="Century Gothic" w:eastAsia="Arial" w:hAnsi="Century Gothic" w:cs="Arial"/>
          <w:sz w:val="24"/>
          <w:szCs w:val="24"/>
          <w:highlight w:val="white"/>
        </w:rPr>
        <w:t>constipation</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predominant</w:t>
      </w:r>
      <w:proofErr w:type="spellEnd"/>
      <w:r w:rsidRPr="0016703E">
        <w:rPr>
          <w:rFonts w:ascii="Century Gothic" w:eastAsia="Arial" w:hAnsi="Century Gothic" w:cs="Arial"/>
          <w:sz w:val="24"/>
          <w:szCs w:val="24"/>
          <w:highlight w:val="white"/>
        </w:rPr>
        <w:t xml:space="preserve"> irritable </w:t>
      </w:r>
      <w:proofErr w:type="spellStart"/>
      <w:r w:rsidRPr="0016703E">
        <w:rPr>
          <w:rFonts w:ascii="Century Gothic" w:eastAsia="Arial" w:hAnsi="Century Gothic" w:cs="Arial"/>
          <w:sz w:val="24"/>
          <w:szCs w:val="24"/>
          <w:highlight w:val="white"/>
        </w:rPr>
        <w:t>bowel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syndrome</w:t>
      </w:r>
      <w:proofErr w:type="spellEnd"/>
      <w:r w:rsidRPr="0016703E">
        <w:rPr>
          <w:rFonts w:ascii="Century Gothic" w:eastAsia="Arial" w:hAnsi="Century Gothic" w:cs="Arial"/>
          <w:sz w:val="24"/>
          <w:szCs w:val="24"/>
          <w:highlight w:val="white"/>
        </w:rPr>
        <w:t xml:space="preserve">: a </w:t>
      </w:r>
      <w:proofErr w:type="spellStart"/>
      <w:r w:rsidRPr="0016703E">
        <w:rPr>
          <w:rFonts w:ascii="Century Gothic" w:eastAsia="Arial" w:hAnsi="Century Gothic" w:cs="Arial"/>
          <w:sz w:val="24"/>
          <w:szCs w:val="24"/>
          <w:highlight w:val="white"/>
        </w:rPr>
        <w:t>double</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blind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randomized</w:t>
      </w:r>
      <w:r w:rsidRPr="0016703E">
        <w:rPr>
          <w:rFonts w:ascii="Cambria Math" w:eastAsia="Arial" w:hAnsi="Cambria Math" w:cs="Cambria Math"/>
          <w:sz w:val="24"/>
          <w:szCs w:val="24"/>
          <w:highlight w:val="white"/>
        </w:rPr>
        <w:t>‐</w:t>
      </w:r>
      <w:r w:rsidRPr="0016703E">
        <w:rPr>
          <w:rFonts w:ascii="Century Gothic" w:eastAsia="Arial" w:hAnsi="Century Gothic" w:cs="Arial"/>
          <w:sz w:val="24"/>
          <w:szCs w:val="24"/>
          <w:highlight w:val="white"/>
        </w:rPr>
        <w:t>controlled</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study</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Aliment</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Pharmacol</w:t>
      </w:r>
      <w:proofErr w:type="spellEnd"/>
      <w:r w:rsidRPr="0016703E">
        <w:rPr>
          <w:rFonts w:ascii="Century Gothic" w:eastAsia="Arial" w:hAnsi="Century Gothic" w:cs="Arial"/>
          <w:sz w:val="24"/>
          <w:szCs w:val="24"/>
          <w:highlight w:val="white"/>
        </w:rPr>
        <w:t xml:space="preserve"> </w:t>
      </w:r>
      <w:proofErr w:type="spellStart"/>
      <w:r w:rsidRPr="0016703E">
        <w:rPr>
          <w:rFonts w:ascii="Century Gothic" w:eastAsia="Arial" w:hAnsi="Century Gothic" w:cs="Arial"/>
          <w:sz w:val="24"/>
          <w:szCs w:val="24"/>
          <w:highlight w:val="white"/>
        </w:rPr>
        <w:t>Ther</w:t>
      </w:r>
      <w:proofErr w:type="spellEnd"/>
      <w:r w:rsidRPr="0016703E">
        <w:rPr>
          <w:rFonts w:ascii="Century Gothic" w:eastAsia="Arial" w:hAnsi="Century Gothic" w:cs="Arial"/>
          <w:sz w:val="24"/>
          <w:szCs w:val="24"/>
          <w:highlight w:val="white"/>
        </w:rPr>
        <w:t xml:space="preserve"> [Internet]. 2005;22(5):381</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5. Disponible en: </w:t>
      </w:r>
      <w:hyperlink r:id="rId50">
        <w:r w:rsidRPr="009F68C5">
          <w:rPr>
            <w:rFonts w:ascii="Century Gothic" w:eastAsia="Arial" w:hAnsi="Century Gothic" w:cs="Arial"/>
            <w:sz w:val="24"/>
            <w:szCs w:val="24"/>
            <w:highlight w:val="white"/>
          </w:rPr>
          <w:t>http://dx.doi.org/10.1111/j.1365-2036.2005.02566.x</w:t>
        </w:r>
      </w:hyperlink>
    </w:p>
    <w:p w14:paraId="7E667892"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3C2C6FCD" w14:textId="77777777" w:rsidR="000505ED" w:rsidRPr="0016703E" w:rsidRDefault="000505ED" w:rsidP="000505ED">
      <w:pPr>
        <w:spacing w:after="0" w:line="240" w:lineRule="auto"/>
        <w:rPr>
          <w:rFonts w:ascii="Century Gothic" w:eastAsia="Arial" w:hAnsi="Century Gothic" w:cs="Arial"/>
          <w:sz w:val="24"/>
          <w:szCs w:val="24"/>
        </w:rPr>
      </w:pPr>
    </w:p>
    <w:p w14:paraId="0FC9E192" w14:textId="77777777" w:rsidR="000505ED" w:rsidRPr="0016703E" w:rsidRDefault="000505ED" w:rsidP="000505ED">
      <w:pPr>
        <w:spacing w:after="0" w:line="240" w:lineRule="auto"/>
        <w:rPr>
          <w:rFonts w:ascii="Century Gothic" w:eastAsia="Arial" w:hAnsi="Century Gothic" w:cs="Arial"/>
          <w:sz w:val="24"/>
          <w:szCs w:val="24"/>
        </w:rPr>
      </w:pPr>
    </w:p>
    <w:p w14:paraId="4EDF4633" w14:textId="77777777" w:rsidR="000505ED" w:rsidRPr="0016703E" w:rsidRDefault="000505ED" w:rsidP="000505ED">
      <w:pPr>
        <w:spacing w:after="0" w:line="240" w:lineRule="auto"/>
        <w:rPr>
          <w:rFonts w:ascii="Century Gothic" w:eastAsia="Arial" w:hAnsi="Century Gothic" w:cs="Arial"/>
          <w:sz w:val="24"/>
          <w:szCs w:val="24"/>
        </w:rPr>
      </w:pPr>
    </w:p>
    <w:p w14:paraId="6694FA27" w14:textId="77777777" w:rsidR="000505ED" w:rsidRPr="0016703E" w:rsidRDefault="000505ED" w:rsidP="000505ED">
      <w:pPr>
        <w:spacing w:after="0" w:line="240" w:lineRule="auto"/>
        <w:rPr>
          <w:rFonts w:ascii="Century Gothic" w:eastAsia="Arial" w:hAnsi="Century Gothic" w:cs="Arial"/>
          <w:sz w:val="24"/>
          <w:szCs w:val="24"/>
        </w:rPr>
      </w:pPr>
    </w:p>
    <w:p w14:paraId="7C4D8C05" w14:textId="77777777" w:rsidR="000505ED" w:rsidRPr="0016703E" w:rsidRDefault="000505ED" w:rsidP="000505ED">
      <w:pPr>
        <w:spacing w:after="0" w:line="240" w:lineRule="auto"/>
        <w:rPr>
          <w:rFonts w:ascii="Century Gothic" w:eastAsia="Arial" w:hAnsi="Century Gothic" w:cs="Arial"/>
          <w:sz w:val="24"/>
          <w:szCs w:val="24"/>
        </w:rPr>
      </w:pPr>
    </w:p>
    <w:p w14:paraId="4601A48F" w14:textId="77777777" w:rsidR="000505ED" w:rsidRPr="0016703E" w:rsidRDefault="000505ED" w:rsidP="000505ED">
      <w:pPr>
        <w:spacing w:after="0" w:line="240" w:lineRule="auto"/>
        <w:rPr>
          <w:rFonts w:ascii="Century Gothic" w:eastAsia="Arial" w:hAnsi="Century Gothic" w:cs="Arial"/>
          <w:sz w:val="24"/>
          <w:szCs w:val="24"/>
        </w:rPr>
      </w:pPr>
    </w:p>
    <w:p w14:paraId="2EC448F6"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3B2FCFFF"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344B402E"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0CD3983D" w14:textId="77777777" w:rsidR="00F2150C" w:rsidRPr="0016703E" w:rsidRDefault="00F2150C" w:rsidP="0016703E">
      <w:pPr>
        <w:spacing w:after="0" w:line="240" w:lineRule="auto"/>
        <w:rPr>
          <w:rFonts w:ascii="Century Gothic" w:eastAsia="Arial" w:hAnsi="Century Gothic" w:cs="Arial"/>
          <w:b/>
          <w:sz w:val="24"/>
          <w:szCs w:val="24"/>
        </w:rPr>
      </w:pPr>
    </w:p>
    <w:p w14:paraId="2C840DD7" w14:textId="77777777" w:rsidR="00F2150C" w:rsidRPr="0016703E" w:rsidRDefault="00D84AD5" w:rsidP="0016703E">
      <w:pPr>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CONTROL DE CAMBIOS</w:t>
      </w:r>
    </w:p>
    <w:tbl>
      <w:tblPr>
        <w:tblStyle w:val="a5"/>
        <w:tblW w:w="9799"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098"/>
        <w:gridCol w:w="2168"/>
        <w:gridCol w:w="1981"/>
      </w:tblGrid>
      <w:tr w:rsidR="00F2150C" w:rsidRPr="0016703E" w14:paraId="494DDD27" w14:textId="77777777">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6113B4FD"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Elaboró</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Pr>
          <w:p w14:paraId="4C133D7A"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Revisó</w:t>
            </w:r>
          </w:p>
        </w:tc>
        <w:tc>
          <w:tcPr>
            <w:tcW w:w="2168" w:type="dxa"/>
            <w:tcBorders>
              <w:top w:val="single" w:sz="4" w:space="0" w:color="000000"/>
              <w:left w:val="single" w:sz="4" w:space="0" w:color="000000"/>
              <w:bottom w:val="single" w:sz="4" w:space="0" w:color="000000"/>
              <w:right w:val="single" w:sz="4" w:space="0" w:color="000000"/>
            </w:tcBorders>
            <w:shd w:val="clear" w:color="auto" w:fill="D9D9D9"/>
          </w:tcPr>
          <w:p w14:paraId="192A5CEC"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Aprobó</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cPr>
          <w:p w14:paraId="093B76EB"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Fecha de vigencia</w:t>
            </w:r>
          </w:p>
        </w:tc>
      </w:tr>
      <w:tr w:rsidR="009F68C5" w:rsidRPr="0016703E" w14:paraId="1A9D158C" w14:textId="77777777">
        <w:trPr>
          <w:trHeight w:val="583"/>
        </w:trPr>
        <w:tc>
          <w:tcPr>
            <w:tcW w:w="2552" w:type="dxa"/>
            <w:tcBorders>
              <w:top w:val="single" w:sz="4" w:space="0" w:color="000000"/>
              <w:left w:val="single" w:sz="4" w:space="0" w:color="000000"/>
              <w:bottom w:val="single" w:sz="4" w:space="0" w:color="000000"/>
              <w:right w:val="single" w:sz="4" w:space="0" w:color="000000"/>
            </w:tcBorders>
          </w:tcPr>
          <w:p w14:paraId="2ABA0D44" w14:textId="77777777" w:rsidR="009F68C5" w:rsidRDefault="009F68C5" w:rsidP="009F68C5">
            <w:pPr>
              <w:spacing w:after="0" w:line="240" w:lineRule="auto"/>
              <w:jc w:val="center"/>
              <w:rPr>
                <w:rFonts w:ascii="Century Gothic" w:eastAsia="Arial" w:hAnsi="Century Gothic" w:cs="Arial"/>
                <w:sz w:val="24"/>
                <w:szCs w:val="24"/>
              </w:rPr>
            </w:pPr>
          </w:p>
          <w:p w14:paraId="4B29FB75" w14:textId="57A331CB"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Mónica Liliana Salgado</w:t>
            </w:r>
          </w:p>
        </w:tc>
        <w:tc>
          <w:tcPr>
            <w:tcW w:w="3098" w:type="dxa"/>
            <w:tcBorders>
              <w:top w:val="single" w:sz="4" w:space="0" w:color="000000"/>
              <w:left w:val="single" w:sz="4" w:space="0" w:color="000000"/>
              <w:bottom w:val="single" w:sz="4" w:space="0" w:color="000000"/>
              <w:right w:val="single" w:sz="4" w:space="0" w:color="000000"/>
            </w:tcBorders>
          </w:tcPr>
          <w:p w14:paraId="78088468" w14:textId="77777777" w:rsidR="009F68C5" w:rsidRDefault="009F68C5" w:rsidP="009F68C5">
            <w:pPr>
              <w:spacing w:after="0" w:line="240" w:lineRule="auto"/>
              <w:jc w:val="center"/>
              <w:rPr>
                <w:rFonts w:ascii="Century Gothic" w:eastAsia="Arial" w:hAnsi="Century Gothic" w:cs="Arial"/>
                <w:sz w:val="24"/>
                <w:szCs w:val="24"/>
              </w:rPr>
            </w:pPr>
          </w:p>
          <w:p w14:paraId="24A08CA0" w14:textId="3E9BBF59"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Aseguramiento de la Calidad </w:t>
            </w:r>
          </w:p>
        </w:tc>
        <w:tc>
          <w:tcPr>
            <w:tcW w:w="2168" w:type="dxa"/>
            <w:tcBorders>
              <w:top w:val="single" w:sz="4" w:space="0" w:color="000000"/>
              <w:left w:val="single" w:sz="4" w:space="0" w:color="000000"/>
              <w:bottom w:val="single" w:sz="4" w:space="0" w:color="000000"/>
              <w:right w:val="single" w:sz="4" w:space="0" w:color="000000"/>
            </w:tcBorders>
          </w:tcPr>
          <w:p w14:paraId="36DC1A09" w14:textId="77777777" w:rsidR="009F68C5" w:rsidRDefault="009F68C5" w:rsidP="009F68C5">
            <w:pPr>
              <w:spacing w:after="0" w:line="240" w:lineRule="auto"/>
              <w:jc w:val="center"/>
              <w:rPr>
                <w:rFonts w:ascii="Century Gothic" w:eastAsia="Arial" w:hAnsi="Century Gothic" w:cs="Arial"/>
                <w:sz w:val="24"/>
                <w:szCs w:val="24"/>
              </w:rPr>
            </w:pPr>
          </w:p>
          <w:p w14:paraId="3E3F96CA" w14:textId="79CC8A21"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Rectoría</w:t>
            </w:r>
          </w:p>
        </w:tc>
        <w:tc>
          <w:tcPr>
            <w:tcW w:w="1981" w:type="dxa"/>
            <w:tcBorders>
              <w:top w:val="single" w:sz="4" w:space="0" w:color="000000"/>
              <w:left w:val="single" w:sz="4" w:space="0" w:color="000000"/>
              <w:bottom w:val="single" w:sz="4" w:space="0" w:color="000000"/>
              <w:right w:val="single" w:sz="4" w:space="0" w:color="000000"/>
            </w:tcBorders>
          </w:tcPr>
          <w:p w14:paraId="028EB7B1" w14:textId="77777777" w:rsidR="009F68C5" w:rsidRDefault="009F68C5" w:rsidP="009F68C5">
            <w:pPr>
              <w:spacing w:after="0" w:line="240" w:lineRule="auto"/>
              <w:jc w:val="center"/>
              <w:rPr>
                <w:rFonts w:ascii="Century Gothic" w:eastAsia="Arial" w:hAnsi="Century Gothic" w:cs="Arial"/>
                <w:sz w:val="24"/>
                <w:szCs w:val="24"/>
              </w:rPr>
            </w:pPr>
          </w:p>
          <w:p w14:paraId="288893DC" w14:textId="34DFA376"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Noviembre de 2015</w:t>
            </w:r>
          </w:p>
        </w:tc>
      </w:tr>
      <w:tr w:rsidR="009F68C5" w:rsidRPr="0016703E" w14:paraId="7A4B06C2" w14:textId="77777777">
        <w:trPr>
          <w:trHeight w:val="583"/>
        </w:trPr>
        <w:tc>
          <w:tcPr>
            <w:tcW w:w="2552" w:type="dxa"/>
            <w:tcBorders>
              <w:top w:val="single" w:sz="4" w:space="0" w:color="000000"/>
              <w:left w:val="single" w:sz="4" w:space="0" w:color="000000"/>
              <w:bottom w:val="single" w:sz="4" w:space="0" w:color="000000"/>
              <w:right w:val="single" w:sz="4" w:space="0" w:color="000000"/>
            </w:tcBorders>
          </w:tcPr>
          <w:p w14:paraId="17505F4C" w14:textId="77777777" w:rsidR="009F68C5" w:rsidRPr="00013561" w:rsidRDefault="009F68C5" w:rsidP="009F68C5">
            <w:pPr>
              <w:spacing w:after="0" w:line="240" w:lineRule="auto"/>
              <w:jc w:val="center"/>
              <w:rPr>
                <w:rFonts w:ascii="Century Gothic" w:eastAsia="Arial" w:hAnsi="Century Gothic" w:cs="Arial"/>
                <w:b/>
                <w:bCs/>
                <w:sz w:val="24"/>
                <w:szCs w:val="24"/>
              </w:rPr>
            </w:pPr>
            <w:r w:rsidRPr="00013561">
              <w:rPr>
                <w:rFonts w:ascii="Century Gothic" w:eastAsia="Arial" w:hAnsi="Century Gothic" w:cs="Arial"/>
                <w:b/>
                <w:bCs/>
                <w:sz w:val="24"/>
                <w:szCs w:val="24"/>
              </w:rPr>
              <w:t xml:space="preserve">Actualizó </w:t>
            </w:r>
          </w:p>
          <w:p w14:paraId="0164AC5F" w14:textId="1272BE0C" w:rsidR="009F68C5"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Jenny </w:t>
            </w:r>
            <w:r w:rsidR="004636B9" w:rsidRPr="0016703E">
              <w:rPr>
                <w:rFonts w:ascii="Century Gothic" w:eastAsia="Arial" w:hAnsi="Century Gothic" w:cs="Arial"/>
                <w:sz w:val="24"/>
                <w:szCs w:val="24"/>
              </w:rPr>
              <w:t>Enith</w:t>
            </w:r>
            <w:r w:rsidRPr="0016703E">
              <w:rPr>
                <w:rFonts w:ascii="Century Gothic" w:eastAsia="Arial" w:hAnsi="Century Gothic" w:cs="Arial"/>
                <w:sz w:val="24"/>
                <w:szCs w:val="24"/>
              </w:rPr>
              <w:t xml:space="preserve"> Ramírez Aguirre</w:t>
            </w:r>
          </w:p>
          <w:p w14:paraId="4F688942" w14:textId="77777777" w:rsidR="004636B9" w:rsidRPr="0016703E" w:rsidRDefault="004636B9" w:rsidP="009F68C5">
            <w:pPr>
              <w:spacing w:after="0" w:line="240" w:lineRule="auto"/>
              <w:jc w:val="center"/>
              <w:rPr>
                <w:rFonts w:ascii="Century Gothic" w:eastAsia="Arial" w:hAnsi="Century Gothic" w:cs="Arial"/>
                <w:sz w:val="24"/>
                <w:szCs w:val="24"/>
              </w:rPr>
            </w:pPr>
          </w:p>
          <w:p w14:paraId="0E35701D"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Leydi Viviana Rincón Alarcón</w:t>
            </w:r>
          </w:p>
        </w:tc>
        <w:tc>
          <w:tcPr>
            <w:tcW w:w="3098" w:type="dxa"/>
            <w:tcBorders>
              <w:top w:val="single" w:sz="4" w:space="0" w:color="000000"/>
              <w:left w:val="single" w:sz="4" w:space="0" w:color="000000"/>
              <w:bottom w:val="single" w:sz="4" w:space="0" w:color="000000"/>
              <w:right w:val="single" w:sz="4" w:space="0" w:color="000000"/>
            </w:tcBorders>
          </w:tcPr>
          <w:p w14:paraId="677D93FD" w14:textId="77777777" w:rsidR="009F68C5" w:rsidRDefault="009F68C5" w:rsidP="009F68C5">
            <w:pPr>
              <w:spacing w:after="0" w:line="240" w:lineRule="auto"/>
              <w:jc w:val="center"/>
              <w:rPr>
                <w:rFonts w:ascii="Century Gothic" w:eastAsia="Arial" w:hAnsi="Century Gothic" w:cs="Arial"/>
                <w:sz w:val="24"/>
                <w:szCs w:val="24"/>
              </w:rPr>
            </w:pPr>
          </w:p>
          <w:p w14:paraId="331AB379" w14:textId="483D01DF"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Mónica Liliana Salgado</w:t>
            </w:r>
          </w:p>
        </w:tc>
        <w:tc>
          <w:tcPr>
            <w:tcW w:w="2168" w:type="dxa"/>
            <w:tcBorders>
              <w:top w:val="single" w:sz="4" w:space="0" w:color="000000"/>
              <w:left w:val="single" w:sz="4" w:space="0" w:color="000000"/>
              <w:bottom w:val="single" w:sz="4" w:space="0" w:color="000000"/>
              <w:right w:val="single" w:sz="4" w:space="0" w:color="000000"/>
            </w:tcBorders>
          </w:tcPr>
          <w:p w14:paraId="465C2026" w14:textId="77777777" w:rsidR="009F68C5" w:rsidRDefault="009F68C5" w:rsidP="009F68C5">
            <w:pPr>
              <w:spacing w:after="0" w:line="240" w:lineRule="auto"/>
              <w:jc w:val="center"/>
              <w:rPr>
                <w:rFonts w:ascii="Century Gothic" w:eastAsia="Arial" w:hAnsi="Century Gothic" w:cs="Arial"/>
                <w:sz w:val="24"/>
                <w:szCs w:val="24"/>
              </w:rPr>
            </w:pPr>
          </w:p>
          <w:p w14:paraId="2263EB02" w14:textId="0E3FF30E"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Comité de Calidad</w:t>
            </w:r>
          </w:p>
        </w:tc>
        <w:tc>
          <w:tcPr>
            <w:tcW w:w="1981" w:type="dxa"/>
            <w:tcBorders>
              <w:top w:val="single" w:sz="4" w:space="0" w:color="000000"/>
              <w:left w:val="single" w:sz="4" w:space="0" w:color="000000"/>
              <w:bottom w:val="single" w:sz="4" w:space="0" w:color="000000"/>
              <w:right w:val="single" w:sz="4" w:space="0" w:color="000000"/>
            </w:tcBorders>
          </w:tcPr>
          <w:p w14:paraId="70588053" w14:textId="77777777" w:rsidR="009F68C5" w:rsidRDefault="009F68C5" w:rsidP="009F68C5">
            <w:pPr>
              <w:spacing w:after="0" w:line="240" w:lineRule="auto"/>
              <w:jc w:val="center"/>
              <w:rPr>
                <w:rFonts w:ascii="Century Gothic" w:eastAsia="Arial" w:hAnsi="Century Gothic" w:cs="Arial"/>
                <w:sz w:val="24"/>
                <w:szCs w:val="24"/>
              </w:rPr>
            </w:pPr>
          </w:p>
          <w:p w14:paraId="44DB8D0B" w14:textId="547B9F80" w:rsidR="009F68C5" w:rsidRDefault="004636B9" w:rsidP="009F68C5">
            <w:pPr>
              <w:spacing w:after="0" w:line="240" w:lineRule="auto"/>
              <w:jc w:val="center"/>
              <w:rPr>
                <w:rFonts w:ascii="Century Gothic" w:eastAsia="Arial" w:hAnsi="Century Gothic" w:cs="Arial"/>
                <w:sz w:val="24"/>
                <w:szCs w:val="24"/>
              </w:rPr>
            </w:pPr>
            <w:r>
              <w:rPr>
                <w:rFonts w:ascii="Century Gothic" w:eastAsia="Arial" w:hAnsi="Century Gothic" w:cs="Arial"/>
                <w:sz w:val="24"/>
                <w:szCs w:val="24"/>
              </w:rPr>
              <w:t>Junio</w:t>
            </w:r>
            <w:r w:rsidR="009F68C5" w:rsidRPr="0016703E">
              <w:rPr>
                <w:rFonts w:ascii="Century Gothic" w:eastAsia="Arial" w:hAnsi="Century Gothic" w:cs="Arial"/>
                <w:sz w:val="24"/>
                <w:szCs w:val="24"/>
              </w:rPr>
              <w:t xml:space="preserve"> de </w:t>
            </w:r>
          </w:p>
          <w:p w14:paraId="6E3B76D7" w14:textId="10DB370C"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2024</w:t>
            </w:r>
          </w:p>
        </w:tc>
      </w:tr>
    </w:tbl>
    <w:p w14:paraId="2B4F313F" w14:textId="77777777" w:rsidR="00F2150C" w:rsidRPr="0016703E" w:rsidRDefault="00F2150C" w:rsidP="0016703E">
      <w:pPr>
        <w:spacing w:after="0" w:line="240" w:lineRule="auto"/>
        <w:ind w:left="720"/>
        <w:rPr>
          <w:rFonts w:ascii="Century Gothic" w:eastAsia="Arial" w:hAnsi="Century Gothic" w:cs="Arial"/>
          <w:b/>
          <w:sz w:val="24"/>
          <w:szCs w:val="24"/>
        </w:rPr>
      </w:pPr>
    </w:p>
    <w:p w14:paraId="1820FF9A" w14:textId="77777777" w:rsidR="00F2150C" w:rsidRDefault="00D84AD5" w:rsidP="0016703E">
      <w:pPr>
        <w:numPr>
          <w:ilvl w:val="0"/>
          <w:numId w:val="2"/>
        </w:numPr>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CONTROL DE CAMBIOS</w:t>
      </w:r>
    </w:p>
    <w:p w14:paraId="350E70B1" w14:textId="77777777" w:rsidR="009F68C5" w:rsidRDefault="009F68C5" w:rsidP="009F68C5">
      <w:pPr>
        <w:spacing w:after="0" w:line="240" w:lineRule="auto"/>
        <w:rPr>
          <w:rFonts w:ascii="Century Gothic" w:eastAsia="Arial" w:hAnsi="Century Gothic" w:cs="Arial"/>
          <w:b/>
          <w:sz w:val="24"/>
          <w:szCs w:val="24"/>
        </w:rPr>
      </w:pPr>
    </w:p>
    <w:p w14:paraId="2D591849" w14:textId="77777777" w:rsidR="009F68C5" w:rsidRDefault="009F68C5" w:rsidP="009F68C5">
      <w:pPr>
        <w:spacing w:after="0" w:line="240" w:lineRule="auto"/>
        <w:rPr>
          <w:rFonts w:ascii="Century Gothic" w:eastAsia="Arial" w:hAnsi="Century Gothic" w:cs="Arial"/>
          <w:b/>
          <w:sz w:val="24"/>
          <w:szCs w:val="24"/>
        </w:rPr>
      </w:pPr>
    </w:p>
    <w:tbl>
      <w:tblPr>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276"/>
        <w:gridCol w:w="4536"/>
        <w:gridCol w:w="2982"/>
      </w:tblGrid>
      <w:tr w:rsidR="009F68C5" w:rsidRPr="00672467" w14:paraId="245AF2F5" w14:textId="77777777" w:rsidTr="009F68C5">
        <w:trPr>
          <w:trHeight w:val="589"/>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64C85"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FECHA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D284F8"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VERSIÓN</w:t>
            </w:r>
          </w:p>
        </w:tc>
        <w:tc>
          <w:tcPr>
            <w:tcW w:w="45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442BA2"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ÍTEM</w:t>
            </w:r>
          </w:p>
        </w:tc>
        <w:tc>
          <w:tcPr>
            <w:tcW w:w="29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4AC456"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MODIFICACIÓN</w:t>
            </w:r>
          </w:p>
        </w:tc>
      </w:tr>
      <w:tr w:rsidR="009F68C5" w:rsidRPr="00672467" w14:paraId="11DB1A1C" w14:textId="77777777" w:rsidTr="009F68C5">
        <w:trPr>
          <w:trHeight w:val="623"/>
        </w:trPr>
        <w:tc>
          <w:tcPr>
            <w:tcW w:w="1271" w:type="dxa"/>
            <w:tcBorders>
              <w:top w:val="single" w:sz="4" w:space="0" w:color="000000"/>
              <w:left w:val="single" w:sz="4" w:space="0" w:color="000000"/>
              <w:bottom w:val="single" w:sz="4" w:space="0" w:color="000000"/>
              <w:right w:val="single" w:sz="4" w:space="0" w:color="000000"/>
            </w:tcBorders>
          </w:tcPr>
          <w:p w14:paraId="09487342" w14:textId="77777777" w:rsidR="009F68C5" w:rsidRDefault="009F68C5" w:rsidP="009F68C5">
            <w:pPr>
              <w:spacing w:after="0" w:line="240" w:lineRule="auto"/>
              <w:ind w:hanging="2"/>
              <w:jc w:val="center"/>
              <w:rPr>
                <w:rFonts w:ascii="Century Gothic" w:eastAsia="Century Gothic" w:hAnsi="Century Gothic" w:cs="Century Gothic"/>
              </w:rPr>
            </w:pPr>
          </w:p>
          <w:p w14:paraId="50276111" w14:textId="2EF50834" w:rsidR="009F68C5" w:rsidRPr="00672467"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Agosto </w:t>
            </w:r>
            <w:r w:rsidRPr="00672467">
              <w:rPr>
                <w:rFonts w:ascii="Century Gothic" w:eastAsia="Century Gothic" w:hAnsi="Century Gothic" w:cs="Century Gothic"/>
              </w:rPr>
              <w:t>de 2015</w:t>
            </w:r>
          </w:p>
        </w:tc>
        <w:tc>
          <w:tcPr>
            <w:tcW w:w="1276" w:type="dxa"/>
            <w:tcBorders>
              <w:top w:val="single" w:sz="4" w:space="0" w:color="000000"/>
              <w:left w:val="single" w:sz="4" w:space="0" w:color="000000"/>
              <w:bottom w:val="single" w:sz="4" w:space="0" w:color="000000"/>
              <w:right w:val="single" w:sz="4" w:space="0" w:color="000000"/>
            </w:tcBorders>
            <w:vAlign w:val="center"/>
          </w:tcPr>
          <w:p w14:paraId="60B177DF" w14:textId="77777777" w:rsidR="009F68C5" w:rsidRDefault="009F68C5" w:rsidP="009F68C5">
            <w:pPr>
              <w:spacing w:after="0" w:line="240" w:lineRule="auto"/>
              <w:ind w:hanging="2"/>
              <w:jc w:val="center"/>
              <w:rPr>
                <w:rFonts w:ascii="Century Gothic" w:eastAsia="Century Gothic" w:hAnsi="Century Gothic" w:cs="Century Gothic"/>
              </w:rPr>
            </w:pPr>
          </w:p>
          <w:p w14:paraId="11C3AEA2" w14:textId="3B7A5F94" w:rsidR="009F68C5" w:rsidRPr="00672467" w:rsidRDefault="009F68C5" w:rsidP="009F68C5">
            <w:pPr>
              <w:spacing w:after="0" w:line="240" w:lineRule="auto"/>
              <w:ind w:hanging="2"/>
              <w:jc w:val="center"/>
              <w:rPr>
                <w:rFonts w:ascii="Century Gothic" w:eastAsia="Century Gothic" w:hAnsi="Century Gothic" w:cs="Century Gothic"/>
              </w:rPr>
            </w:pPr>
            <w:r w:rsidRPr="00672467">
              <w:rPr>
                <w:rFonts w:ascii="Century Gothic" w:eastAsia="Century Gothic" w:hAnsi="Century Gothic" w:cs="Century Gothic"/>
              </w:rPr>
              <w:t>1</w:t>
            </w:r>
          </w:p>
        </w:tc>
        <w:tc>
          <w:tcPr>
            <w:tcW w:w="4536" w:type="dxa"/>
            <w:tcBorders>
              <w:top w:val="single" w:sz="4" w:space="0" w:color="000000"/>
              <w:left w:val="single" w:sz="4" w:space="0" w:color="000000"/>
              <w:bottom w:val="single" w:sz="4" w:space="0" w:color="000000"/>
              <w:right w:val="single" w:sz="4" w:space="0" w:color="000000"/>
            </w:tcBorders>
            <w:vAlign w:val="center"/>
          </w:tcPr>
          <w:p w14:paraId="1B0F2E15" w14:textId="44A28042" w:rsidR="009F68C5" w:rsidRPr="00672467" w:rsidRDefault="009F68C5" w:rsidP="009F68C5">
            <w:pPr>
              <w:spacing w:after="0" w:line="240" w:lineRule="auto"/>
              <w:jc w:val="center"/>
              <w:rPr>
                <w:rFonts w:ascii="Century Gothic" w:eastAsia="Century Gothic" w:hAnsi="Century Gothic" w:cs="Century Gothic"/>
              </w:rPr>
            </w:pPr>
            <w:r w:rsidRPr="00672467">
              <w:rPr>
                <w:rFonts w:ascii="Century Gothic" w:eastAsia="Century Gothic" w:hAnsi="Century Gothic" w:cs="Century Gothic"/>
              </w:rPr>
              <w:t>Todo el documento</w:t>
            </w:r>
          </w:p>
        </w:tc>
        <w:tc>
          <w:tcPr>
            <w:tcW w:w="2982" w:type="dxa"/>
            <w:tcBorders>
              <w:top w:val="single" w:sz="4" w:space="0" w:color="000000"/>
              <w:left w:val="single" w:sz="4" w:space="0" w:color="000000"/>
              <w:bottom w:val="single" w:sz="4" w:space="0" w:color="000000"/>
              <w:right w:val="single" w:sz="4" w:space="0" w:color="000000"/>
            </w:tcBorders>
          </w:tcPr>
          <w:p w14:paraId="733147F5" w14:textId="77777777" w:rsidR="009F68C5" w:rsidRDefault="009F68C5" w:rsidP="009F68C5">
            <w:pPr>
              <w:spacing w:after="0" w:line="240" w:lineRule="auto"/>
              <w:jc w:val="center"/>
              <w:rPr>
                <w:rFonts w:ascii="Century Gothic" w:eastAsia="Century Gothic" w:hAnsi="Century Gothic" w:cs="Century Gothic"/>
              </w:rPr>
            </w:pPr>
          </w:p>
          <w:p w14:paraId="30679C12" w14:textId="5F7A558F" w:rsidR="009F68C5" w:rsidRPr="00672467" w:rsidRDefault="009F68C5" w:rsidP="009F68C5">
            <w:pPr>
              <w:spacing w:after="0" w:line="240" w:lineRule="auto"/>
              <w:jc w:val="center"/>
              <w:rPr>
                <w:rFonts w:ascii="Century Gothic" w:eastAsia="Century Gothic" w:hAnsi="Century Gothic" w:cs="Century Gothic"/>
              </w:rPr>
            </w:pPr>
            <w:r w:rsidRPr="00672467">
              <w:rPr>
                <w:rFonts w:ascii="Century Gothic" w:eastAsia="Century Gothic" w:hAnsi="Century Gothic" w:cs="Century Gothic"/>
              </w:rPr>
              <w:t>Creación del documento</w:t>
            </w:r>
          </w:p>
        </w:tc>
      </w:tr>
      <w:tr w:rsidR="009F68C5" w:rsidRPr="00672467" w14:paraId="46AEC3F9" w14:textId="77777777" w:rsidTr="009F68C5">
        <w:trPr>
          <w:trHeight w:val="544"/>
        </w:trPr>
        <w:tc>
          <w:tcPr>
            <w:tcW w:w="1271" w:type="dxa"/>
            <w:tcBorders>
              <w:top w:val="single" w:sz="4" w:space="0" w:color="000000"/>
              <w:left w:val="single" w:sz="4" w:space="0" w:color="000000"/>
              <w:bottom w:val="single" w:sz="4" w:space="0" w:color="000000"/>
              <w:right w:val="single" w:sz="4" w:space="0" w:color="000000"/>
            </w:tcBorders>
          </w:tcPr>
          <w:p w14:paraId="21D35235"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Agosto de 2017</w:t>
            </w:r>
          </w:p>
        </w:tc>
        <w:tc>
          <w:tcPr>
            <w:tcW w:w="1276" w:type="dxa"/>
            <w:tcBorders>
              <w:top w:val="single" w:sz="4" w:space="0" w:color="000000"/>
              <w:left w:val="single" w:sz="4" w:space="0" w:color="000000"/>
              <w:bottom w:val="single" w:sz="4" w:space="0" w:color="000000"/>
              <w:right w:val="single" w:sz="4" w:space="0" w:color="000000"/>
            </w:tcBorders>
            <w:vAlign w:val="center"/>
          </w:tcPr>
          <w:p w14:paraId="43058B94" w14:textId="77777777" w:rsidR="009F68C5" w:rsidRDefault="009F68C5" w:rsidP="009F68C5">
            <w:pPr>
              <w:spacing w:after="0" w:line="240" w:lineRule="auto"/>
              <w:ind w:hanging="2"/>
              <w:jc w:val="center"/>
              <w:rPr>
                <w:rFonts w:ascii="Century Gothic" w:eastAsia="Century Gothic" w:hAnsi="Century Gothic" w:cs="Century Gothic"/>
              </w:rPr>
            </w:pPr>
          </w:p>
          <w:p w14:paraId="46C87BD1" w14:textId="77777777" w:rsidR="009F68C5" w:rsidRPr="00672467"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2</w:t>
            </w:r>
          </w:p>
        </w:tc>
        <w:tc>
          <w:tcPr>
            <w:tcW w:w="4536" w:type="dxa"/>
            <w:tcBorders>
              <w:top w:val="single" w:sz="4" w:space="0" w:color="000000"/>
              <w:left w:val="single" w:sz="4" w:space="0" w:color="000000"/>
              <w:bottom w:val="single" w:sz="4" w:space="0" w:color="000000"/>
              <w:right w:val="single" w:sz="4" w:space="0" w:color="000000"/>
            </w:tcBorders>
            <w:vAlign w:val="center"/>
          </w:tcPr>
          <w:p w14:paraId="1442CC9B" w14:textId="77777777" w:rsidR="009F68C5" w:rsidRDefault="009F68C5" w:rsidP="009F68C5">
            <w:pPr>
              <w:spacing w:after="0" w:line="240" w:lineRule="auto"/>
              <w:ind w:hanging="2"/>
              <w:jc w:val="center"/>
              <w:rPr>
                <w:rFonts w:ascii="Century Gothic" w:eastAsia="Century Gothic" w:hAnsi="Century Gothic" w:cs="Century Gothic"/>
              </w:rPr>
            </w:pPr>
          </w:p>
          <w:p w14:paraId="61B01B51" w14:textId="77777777" w:rsidR="009F68C5" w:rsidRPr="00672467"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2982" w:type="dxa"/>
            <w:tcBorders>
              <w:top w:val="single" w:sz="4" w:space="0" w:color="000000"/>
              <w:left w:val="single" w:sz="4" w:space="0" w:color="000000"/>
              <w:bottom w:val="single" w:sz="4" w:space="0" w:color="000000"/>
              <w:right w:val="single" w:sz="4" w:space="0" w:color="000000"/>
            </w:tcBorders>
          </w:tcPr>
          <w:p w14:paraId="3C14D76E" w14:textId="77777777" w:rsidR="009F68C5" w:rsidRDefault="009F68C5" w:rsidP="009F68C5">
            <w:pPr>
              <w:spacing w:after="0" w:line="240" w:lineRule="auto"/>
              <w:jc w:val="center"/>
              <w:rPr>
                <w:rFonts w:ascii="Century Gothic" w:eastAsia="Century Gothic" w:hAnsi="Century Gothic" w:cs="Century Gothic"/>
              </w:rPr>
            </w:pPr>
          </w:p>
          <w:p w14:paraId="06996B1C" w14:textId="77777777" w:rsidR="009F68C5" w:rsidRPr="00672467"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9F68C5" w:rsidRPr="00672467" w14:paraId="2FC2AF05" w14:textId="77777777" w:rsidTr="009F68C5">
        <w:trPr>
          <w:trHeight w:val="658"/>
        </w:trPr>
        <w:tc>
          <w:tcPr>
            <w:tcW w:w="1271" w:type="dxa"/>
            <w:tcBorders>
              <w:top w:val="single" w:sz="4" w:space="0" w:color="000000"/>
              <w:left w:val="single" w:sz="4" w:space="0" w:color="000000"/>
              <w:bottom w:val="single" w:sz="4" w:space="0" w:color="000000"/>
              <w:right w:val="single" w:sz="4" w:space="0" w:color="000000"/>
            </w:tcBorders>
          </w:tcPr>
          <w:p w14:paraId="719BC831"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Agosto de 2019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05BF106" w14:textId="77777777" w:rsidR="009F68C5"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3</w:t>
            </w:r>
          </w:p>
        </w:tc>
        <w:tc>
          <w:tcPr>
            <w:tcW w:w="4536" w:type="dxa"/>
            <w:tcBorders>
              <w:top w:val="single" w:sz="4" w:space="0" w:color="000000"/>
              <w:left w:val="single" w:sz="4" w:space="0" w:color="000000"/>
              <w:bottom w:val="single" w:sz="4" w:space="0" w:color="000000"/>
              <w:right w:val="single" w:sz="4" w:space="0" w:color="000000"/>
            </w:tcBorders>
            <w:vAlign w:val="center"/>
          </w:tcPr>
          <w:p w14:paraId="68D07065"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2982" w:type="dxa"/>
            <w:tcBorders>
              <w:top w:val="single" w:sz="4" w:space="0" w:color="000000"/>
              <w:left w:val="single" w:sz="4" w:space="0" w:color="000000"/>
              <w:bottom w:val="single" w:sz="4" w:space="0" w:color="000000"/>
              <w:right w:val="single" w:sz="4" w:space="0" w:color="000000"/>
            </w:tcBorders>
          </w:tcPr>
          <w:p w14:paraId="1F74D358" w14:textId="77777777" w:rsidR="009F68C5" w:rsidRDefault="009F68C5" w:rsidP="009F68C5">
            <w:pPr>
              <w:spacing w:after="0" w:line="240" w:lineRule="auto"/>
              <w:jc w:val="center"/>
              <w:rPr>
                <w:rFonts w:ascii="Century Gothic" w:eastAsia="Century Gothic" w:hAnsi="Century Gothic" w:cs="Century Gothic"/>
              </w:rPr>
            </w:pPr>
          </w:p>
          <w:p w14:paraId="5FDCAC16"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9F68C5" w:rsidRPr="00672467" w14:paraId="65657B3C" w14:textId="77777777" w:rsidTr="009F68C5">
        <w:trPr>
          <w:trHeight w:val="658"/>
        </w:trPr>
        <w:tc>
          <w:tcPr>
            <w:tcW w:w="1271" w:type="dxa"/>
            <w:tcBorders>
              <w:top w:val="single" w:sz="4" w:space="0" w:color="000000"/>
              <w:left w:val="single" w:sz="4" w:space="0" w:color="000000"/>
              <w:bottom w:val="single" w:sz="4" w:space="0" w:color="000000"/>
              <w:right w:val="single" w:sz="4" w:space="0" w:color="000000"/>
            </w:tcBorders>
          </w:tcPr>
          <w:p w14:paraId="5AC1234A" w14:textId="77777777" w:rsidR="009F68C5" w:rsidRDefault="009F68C5" w:rsidP="00631437">
            <w:pPr>
              <w:ind w:hanging="2"/>
              <w:jc w:val="center"/>
              <w:rPr>
                <w:rFonts w:ascii="Century Gothic" w:eastAsia="Century Gothic" w:hAnsi="Century Gothic" w:cs="Century Gothic"/>
              </w:rPr>
            </w:pPr>
          </w:p>
          <w:p w14:paraId="3E73AADF" w14:textId="77777777" w:rsidR="009F68C5" w:rsidRDefault="009F68C5" w:rsidP="00631437">
            <w:pPr>
              <w:jc w:val="center"/>
              <w:rPr>
                <w:rFonts w:ascii="Century Gothic" w:eastAsia="Century Gothic" w:hAnsi="Century Gothic" w:cs="Century Gothic"/>
              </w:rPr>
            </w:pPr>
            <w:r>
              <w:rPr>
                <w:rFonts w:ascii="Century Gothic" w:eastAsia="Century Gothic" w:hAnsi="Century Gothic" w:cs="Century Gothic"/>
              </w:rPr>
              <w:t>Mayo de 2024</w:t>
            </w:r>
          </w:p>
        </w:tc>
        <w:tc>
          <w:tcPr>
            <w:tcW w:w="1276" w:type="dxa"/>
            <w:tcBorders>
              <w:top w:val="single" w:sz="4" w:space="0" w:color="000000"/>
              <w:left w:val="single" w:sz="4" w:space="0" w:color="000000"/>
              <w:bottom w:val="single" w:sz="4" w:space="0" w:color="000000"/>
              <w:right w:val="single" w:sz="4" w:space="0" w:color="000000"/>
            </w:tcBorders>
            <w:vAlign w:val="center"/>
          </w:tcPr>
          <w:p w14:paraId="766EF072" w14:textId="77777777" w:rsidR="009F68C5" w:rsidRDefault="009F68C5" w:rsidP="00631437">
            <w:pPr>
              <w:ind w:hanging="2"/>
              <w:jc w:val="center"/>
              <w:rPr>
                <w:rFonts w:ascii="Century Gothic" w:eastAsia="Century Gothic" w:hAnsi="Century Gothic" w:cs="Century Gothic"/>
              </w:rPr>
            </w:pPr>
            <w:r>
              <w:rPr>
                <w:rFonts w:ascii="Century Gothic" w:eastAsia="Century Gothic" w:hAnsi="Century Gothic" w:cs="Century Gothic"/>
              </w:rPr>
              <w:t>4</w:t>
            </w:r>
          </w:p>
        </w:tc>
        <w:tc>
          <w:tcPr>
            <w:tcW w:w="4536" w:type="dxa"/>
            <w:tcBorders>
              <w:top w:val="single" w:sz="4" w:space="0" w:color="000000"/>
              <w:left w:val="single" w:sz="4" w:space="0" w:color="000000"/>
              <w:bottom w:val="single" w:sz="4" w:space="0" w:color="000000"/>
              <w:right w:val="single" w:sz="4" w:space="0" w:color="000000"/>
            </w:tcBorders>
            <w:vAlign w:val="center"/>
          </w:tcPr>
          <w:p w14:paraId="46632194"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Se modifica redacción en Justificación, objetivos, alcance, diagnóstico y tratamiento.</w:t>
            </w:r>
          </w:p>
          <w:p w14:paraId="640BFFBC"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Se actualiza definición, signos y síntomas de alarma.</w:t>
            </w:r>
          </w:p>
          <w:p w14:paraId="3B5EA863"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Se actualiza figura Escala de Bristol de las heces.</w:t>
            </w:r>
          </w:p>
          <w:p w14:paraId="190B318A" w14:textId="3EF329A9" w:rsidR="009F68C5" w:rsidRPr="009F68C5"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Se incorporan figuras de signos y síntomas de alarma, criterios ROMA IV, subtipos de SII, Tratamiento farmacológico. </w:t>
            </w:r>
          </w:p>
        </w:tc>
        <w:tc>
          <w:tcPr>
            <w:tcW w:w="2982" w:type="dxa"/>
            <w:tcBorders>
              <w:top w:val="single" w:sz="4" w:space="0" w:color="000000"/>
              <w:left w:val="single" w:sz="4" w:space="0" w:color="000000"/>
              <w:bottom w:val="single" w:sz="4" w:space="0" w:color="000000"/>
              <w:right w:val="single" w:sz="4" w:space="0" w:color="000000"/>
            </w:tcBorders>
          </w:tcPr>
          <w:p w14:paraId="5D7832CE" w14:textId="77777777" w:rsidR="009F68C5" w:rsidRDefault="009F68C5" w:rsidP="00631437">
            <w:pPr>
              <w:jc w:val="center"/>
              <w:rPr>
                <w:rFonts w:ascii="Century Gothic" w:eastAsia="Century Gothic" w:hAnsi="Century Gothic" w:cs="Century Gothic"/>
              </w:rPr>
            </w:pPr>
          </w:p>
          <w:p w14:paraId="6741E119" w14:textId="39AC6341" w:rsidR="009F68C5" w:rsidRDefault="009F68C5" w:rsidP="00631437">
            <w:pPr>
              <w:jc w:val="center"/>
              <w:rPr>
                <w:rFonts w:ascii="Century Gothic" w:eastAsia="Century Gothic" w:hAnsi="Century Gothic" w:cs="Century Gothic"/>
              </w:rPr>
            </w:pPr>
            <w:r>
              <w:rPr>
                <w:rFonts w:ascii="Century Gothic" w:eastAsia="Century Gothic" w:hAnsi="Century Gothic" w:cs="Century Gothic"/>
              </w:rPr>
              <w:t xml:space="preserve">Estructura del documento </w:t>
            </w:r>
          </w:p>
        </w:tc>
      </w:tr>
    </w:tbl>
    <w:p w14:paraId="4CFA6174" w14:textId="77777777" w:rsidR="00F2150C" w:rsidRPr="0016703E" w:rsidRDefault="00F2150C" w:rsidP="0016703E">
      <w:pPr>
        <w:spacing w:after="0" w:line="240" w:lineRule="auto"/>
        <w:rPr>
          <w:rFonts w:ascii="Century Gothic" w:eastAsia="Arial" w:hAnsi="Century Gothic" w:cs="Arial"/>
          <w:sz w:val="24"/>
          <w:szCs w:val="24"/>
        </w:rPr>
      </w:pPr>
    </w:p>
    <w:sectPr w:rsidR="00F2150C" w:rsidRPr="0016703E">
      <w:headerReference w:type="default" r:id="rId5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1136E" w14:textId="77777777" w:rsidR="0001302A" w:rsidRDefault="0001302A">
      <w:pPr>
        <w:spacing w:after="0" w:line="240" w:lineRule="auto"/>
      </w:pPr>
      <w:r>
        <w:separator/>
      </w:r>
    </w:p>
  </w:endnote>
  <w:endnote w:type="continuationSeparator" w:id="0">
    <w:p w14:paraId="4DD7DDCA" w14:textId="77777777" w:rsidR="0001302A" w:rsidRDefault="0001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E0ADB23-FB71-4FC7-8CA0-0D854C0A63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442194-7D60-4781-8F89-135E38794E2A}"/>
    <w:embedBold r:id="rId3" w:fontKey="{011E7894-B5E6-4209-8D55-6191E14C10AD}"/>
  </w:font>
  <w:font w:name="Tahoma">
    <w:panose1 w:val="020B0604030504040204"/>
    <w:charset w:val="00"/>
    <w:family w:val="swiss"/>
    <w:pitch w:val="variable"/>
    <w:sig w:usb0="E1002EFF" w:usb1="C000605B" w:usb2="00000029" w:usb3="00000000" w:csb0="000101FF" w:csb1="00000000"/>
    <w:embedRegular r:id="rId4" w:fontKey="{228F384D-D23C-488E-97CD-E2F66921ED87}"/>
  </w:font>
  <w:font w:name="Cambria">
    <w:panose1 w:val="02040503050406030204"/>
    <w:charset w:val="00"/>
    <w:family w:val="roman"/>
    <w:pitch w:val="variable"/>
    <w:sig w:usb0="E00006FF" w:usb1="420024FF" w:usb2="02000000" w:usb3="00000000" w:csb0="0000019F" w:csb1="00000000"/>
    <w:embedRegular r:id="rId5" w:fontKey="{C85246F8-3038-4914-BA73-D6C6F21A49BB}"/>
  </w:font>
  <w:font w:name="Georgia">
    <w:panose1 w:val="02040502050405020303"/>
    <w:charset w:val="00"/>
    <w:family w:val="roman"/>
    <w:pitch w:val="variable"/>
    <w:sig w:usb0="00000287" w:usb1="00000000" w:usb2="00000000" w:usb3="00000000" w:csb0="0000009F" w:csb1="00000000"/>
    <w:embedRegular r:id="rId6" w:fontKey="{00B037EA-57D9-41A0-8087-70079E263422}"/>
    <w:embedItalic r:id="rId7" w:fontKey="{AE507259-E123-4319-86A0-103BB64F7BF8}"/>
  </w:font>
  <w:font w:name="Century Gothic">
    <w:panose1 w:val="020B0502020202020204"/>
    <w:charset w:val="00"/>
    <w:family w:val="swiss"/>
    <w:pitch w:val="variable"/>
    <w:sig w:usb0="00000287" w:usb1="00000000" w:usb2="00000000" w:usb3="00000000" w:csb0="0000009F" w:csb1="00000000"/>
    <w:embedRegular r:id="rId8" w:fontKey="{6E459159-304A-4B9D-A8E3-E13F53253336}"/>
    <w:embedBold r:id="rId9" w:fontKey="{7FFA0052-042B-48B0-B564-363222FA65F6}"/>
    <w:embedBoldItalic r:id="rId10" w:fontKey="{5C7B8A5F-92DE-4EC6-BFB2-10A746BD77A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1" w:fontKey="{AD515D9E-703A-47B9-BFE8-C221340C80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23B8C" w14:textId="77777777" w:rsidR="0001302A" w:rsidRDefault="0001302A">
      <w:pPr>
        <w:spacing w:after="0" w:line="240" w:lineRule="auto"/>
      </w:pPr>
      <w:r>
        <w:separator/>
      </w:r>
    </w:p>
  </w:footnote>
  <w:footnote w:type="continuationSeparator" w:id="0">
    <w:p w14:paraId="041905D7" w14:textId="77777777" w:rsidR="0001302A" w:rsidRDefault="0001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F0346" w14:textId="77777777" w:rsidR="00F2150C" w:rsidRDefault="00F2150C">
    <w:pPr>
      <w:widowControl w:val="0"/>
      <w:pBdr>
        <w:top w:val="nil"/>
        <w:left w:val="nil"/>
        <w:bottom w:val="nil"/>
        <w:right w:val="nil"/>
        <w:between w:val="nil"/>
      </w:pBdr>
      <w:spacing w:after="0"/>
      <w:rPr>
        <w:rFonts w:ascii="Arial" w:eastAsia="Arial" w:hAnsi="Arial" w:cs="Arial"/>
        <w:sz w:val="24"/>
        <w:szCs w:val="24"/>
      </w:rPr>
    </w:pPr>
  </w:p>
  <w:tbl>
    <w:tblPr>
      <w:tblW w:w="10409"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4518"/>
      <w:gridCol w:w="1276"/>
      <w:gridCol w:w="2002"/>
    </w:tblGrid>
    <w:tr w:rsidR="0016703E" w:rsidRPr="0000373F" w14:paraId="118C4287" w14:textId="77777777" w:rsidTr="00631437">
      <w:trPr>
        <w:trHeight w:val="416"/>
      </w:trPr>
      <w:tc>
        <w:tcPr>
          <w:tcW w:w="2613" w:type="dxa"/>
          <w:vMerge w:val="restart"/>
          <w:shd w:val="clear" w:color="auto" w:fill="auto"/>
          <w:vAlign w:val="center"/>
        </w:tcPr>
        <w:p w14:paraId="249AF9FF" w14:textId="77777777" w:rsidR="0016703E" w:rsidRPr="0000373F" w:rsidRDefault="0016703E" w:rsidP="0016703E">
          <w:pPr>
            <w:pBdr>
              <w:top w:val="nil"/>
              <w:left w:val="nil"/>
              <w:bottom w:val="nil"/>
              <w:right w:val="nil"/>
              <w:between w:val="nil"/>
            </w:pBdr>
            <w:tabs>
              <w:tab w:val="center" w:pos="4252"/>
              <w:tab w:val="right" w:pos="8504"/>
            </w:tabs>
            <w:jc w:val="center"/>
            <w:rPr>
              <w:color w:val="000000"/>
            </w:rPr>
          </w:pPr>
          <w:r w:rsidRPr="008023A3">
            <w:rPr>
              <w:noProof/>
            </w:rPr>
            <w:drawing>
              <wp:inline distT="0" distB="0" distL="0" distR="0" wp14:anchorId="63F29431" wp14:editId="6C2BFA22">
                <wp:extent cx="1522095" cy="718820"/>
                <wp:effectExtent l="0" t="0" r="1905" b="5080"/>
                <wp:docPr id="194382308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308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095" cy="718820"/>
                        </a:xfrm>
                        <a:prstGeom prst="rect">
                          <a:avLst/>
                        </a:prstGeom>
                        <a:noFill/>
                        <a:ln>
                          <a:noFill/>
                        </a:ln>
                      </pic:spPr>
                    </pic:pic>
                  </a:graphicData>
                </a:graphic>
              </wp:inline>
            </w:drawing>
          </w:r>
        </w:p>
      </w:tc>
      <w:tc>
        <w:tcPr>
          <w:tcW w:w="4518" w:type="dxa"/>
          <w:shd w:val="clear" w:color="auto" w:fill="D9D9D9"/>
          <w:vAlign w:val="center"/>
        </w:tcPr>
        <w:p w14:paraId="68756C26" w14:textId="77777777" w:rsidR="0016703E" w:rsidRPr="00CF0ACD" w:rsidRDefault="0016703E" w:rsidP="0016703E">
          <w:pPr>
            <w:ind w:hanging="2"/>
            <w:jc w:val="center"/>
            <w:rPr>
              <w:rFonts w:ascii="Century Gothic" w:eastAsia="Century Gothic" w:hAnsi="Century Gothic" w:cs="Century Gothic"/>
              <w:b/>
            </w:rPr>
          </w:pPr>
          <w:r w:rsidRPr="00CF0ACD">
            <w:rPr>
              <w:rFonts w:ascii="Century Gothic" w:eastAsia="Century Gothic" w:hAnsi="Century Gothic" w:cs="Century Gothic"/>
              <w:b/>
            </w:rPr>
            <w:t>GESTIÓN DEL BIENESTAR UNIVERSITARIO</w:t>
          </w:r>
        </w:p>
      </w:tc>
      <w:tc>
        <w:tcPr>
          <w:tcW w:w="1276" w:type="dxa"/>
          <w:vAlign w:val="center"/>
        </w:tcPr>
        <w:p w14:paraId="7BC2D6B3"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Código:</w:t>
          </w:r>
        </w:p>
      </w:tc>
      <w:tc>
        <w:tcPr>
          <w:tcW w:w="2002" w:type="dxa"/>
          <w:vAlign w:val="center"/>
        </w:tcPr>
        <w:p w14:paraId="7CB39C9E" w14:textId="43603B32"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GBU-G-2</w:t>
          </w:r>
        </w:p>
      </w:tc>
    </w:tr>
    <w:tr w:rsidR="0016703E" w:rsidRPr="0000373F" w14:paraId="63C5FB9E" w14:textId="77777777" w:rsidTr="00631437">
      <w:trPr>
        <w:trHeight w:val="375"/>
      </w:trPr>
      <w:tc>
        <w:tcPr>
          <w:tcW w:w="2613" w:type="dxa"/>
          <w:vMerge/>
          <w:shd w:val="clear" w:color="auto" w:fill="auto"/>
          <w:vAlign w:val="bottom"/>
        </w:tcPr>
        <w:p w14:paraId="4CE0E286" w14:textId="77777777" w:rsidR="0016703E" w:rsidRPr="0000373F" w:rsidRDefault="0016703E" w:rsidP="0016703E">
          <w:pPr>
            <w:pBdr>
              <w:top w:val="nil"/>
              <w:left w:val="nil"/>
              <w:bottom w:val="nil"/>
              <w:right w:val="nil"/>
              <w:between w:val="nil"/>
            </w:pBdr>
            <w:tabs>
              <w:tab w:val="center" w:pos="4252"/>
              <w:tab w:val="right" w:pos="8504"/>
            </w:tabs>
            <w:jc w:val="center"/>
            <w:rPr>
              <w:noProof/>
            </w:rPr>
          </w:pPr>
        </w:p>
      </w:tc>
      <w:tc>
        <w:tcPr>
          <w:tcW w:w="4518" w:type="dxa"/>
          <w:vMerge w:val="restart"/>
          <w:shd w:val="clear" w:color="auto" w:fill="auto"/>
          <w:vAlign w:val="center"/>
        </w:tcPr>
        <w:p w14:paraId="5C4F370C" w14:textId="5093491B" w:rsidR="0016703E" w:rsidRPr="00CF0ACD" w:rsidRDefault="005D613B" w:rsidP="00013561">
          <w:pPr>
            <w:spacing w:after="0" w:line="0" w:lineRule="atLeast"/>
            <w:jc w:val="center"/>
            <w:rPr>
              <w:rFonts w:ascii="Century Gothic" w:eastAsia="Century Gothic" w:hAnsi="Century Gothic" w:cs="Century Gothic"/>
            </w:rPr>
          </w:pPr>
          <w:r>
            <w:rPr>
              <w:rFonts w:ascii="Century Gothic" w:eastAsia="Century Gothic" w:hAnsi="Century Gothic" w:cs="Century Gothic"/>
            </w:rPr>
            <w:t xml:space="preserve">GUIA </w:t>
          </w:r>
          <w:r w:rsidR="00013561">
            <w:rPr>
              <w:rFonts w:ascii="Century Gothic" w:eastAsia="Century Gothic" w:hAnsi="Century Gothic" w:cs="Century Gothic"/>
            </w:rPr>
            <w:t xml:space="preserve">DE ATENCION DE </w:t>
          </w:r>
          <w:r>
            <w:rPr>
              <w:rFonts w:ascii="Century Gothic" w:eastAsia="Century Gothic" w:hAnsi="Century Gothic" w:cs="Century Gothic"/>
            </w:rPr>
            <w:t>SINDROME DE INTESTINO IRRITABLE</w:t>
          </w:r>
          <w:r w:rsidR="00013561">
            <w:rPr>
              <w:rFonts w:ascii="Century Gothic" w:eastAsia="Century Gothic" w:hAnsi="Century Gothic" w:cs="Century Gothic"/>
            </w:rPr>
            <w:t xml:space="preserve"> SERVICIOS DE SALUD UCM</w:t>
          </w:r>
        </w:p>
      </w:tc>
      <w:tc>
        <w:tcPr>
          <w:tcW w:w="1276" w:type="dxa"/>
          <w:vAlign w:val="center"/>
        </w:tcPr>
        <w:p w14:paraId="65FF9DF9"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Versión:</w:t>
          </w:r>
        </w:p>
      </w:tc>
      <w:tc>
        <w:tcPr>
          <w:tcW w:w="2002" w:type="dxa"/>
          <w:vAlign w:val="center"/>
        </w:tcPr>
        <w:p w14:paraId="1A5C58C3"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4</w:t>
          </w:r>
        </w:p>
      </w:tc>
    </w:tr>
    <w:tr w:rsidR="0016703E" w:rsidRPr="0000373F" w14:paraId="438517E5" w14:textId="77777777" w:rsidTr="00631437">
      <w:trPr>
        <w:trHeight w:val="375"/>
      </w:trPr>
      <w:tc>
        <w:tcPr>
          <w:tcW w:w="2613" w:type="dxa"/>
          <w:vMerge/>
          <w:shd w:val="clear" w:color="auto" w:fill="auto"/>
          <w:vAlign w:val="bottom"/>
        </w:tcPr>
        <w:p w14:paraId="3D52C0E1" w14:textId="77777777" w:rsidR="0016703E" w:rsidRPr="0000373F" w:rsidRDefault="0016703E" w:rsidP="0016703E">
          <w:pPr>
            <w:pBdr>
              <w:top w:val="nil"/>
              <w:left w:val="nil"/>
              <w:bottom w:val="nil"/>
              <w:right w:val="nil"/>
              <w:between w:val="nil"/>
            </w:pBdr>
            <w:tabs>
              <w:tab w:val="center" w:pos="4252"/>
              <w:tab w:val="right" w:pos="8504"/>
            </w:tabs>
            <w:jc w:val="center"/>
            <w:rPr>
              <w:noProof/>
            </w:rPr>
          </w:pPr>
        </w:p>
      </w:tc>
      <w:tc>
        <w:tcPr>
          <w:tcW w:w="4518" w:type="dxa"/>
          <w:vMerge/>
          <w:shd w:val="clear" w:color="auto" w:fill="auto"/>
          <w:vAlign w:val="center"/>
        </w:tcPr>
        <w:p w14:paraId="2ABE4178" w14:textId="77777777" w:rsidR="0016703E" w:rsidRPr="00CF0ACD" w:rsidRDefault="0016703E" w:rsidP="0016703E">
          <w:pPr>
            <w:ind w:hanging="2"/>
            <w:jc w:val="center"/>
            <w:rPr>
              <w:rFonts w:ascii="Century Gothic" w:eastAsia="Century Gothic" w:hAnsi="Century Gothic" w:cs="Century Gothic"/>
              <w:b/>
            </w:rPr>
          </w:pPr>
        </w:p>
      </w:tc>
      <w:tc>
        <w:tcPr>
          <w:tcW w:w="1276" w:type="dxa"/>
          <w:vAlign w:val="center"/>
        </w:tcPr>
        <w:p w14:paraId="5FE2683E"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Página:</w:t>
          </w:r>
        </w:p>
      </w:tc>
      <w:tc>
        <w:tcPr>
          <w:tcW w:w="2002" w:type="dxa"/>
          <w:vAlign w:val="center"/>
        </w:tcPr>
        <w:p w14:paraId="0BC5EF96"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PAGE</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r w:rsidRPr="00CF0ACD">
            <w:rPr>
              <w:rFonts w:ascii="Century Gothic" w:eastAsia="Century Gothic" w:hAnsi="Century Gothic" w:cs="Century Gothic"/>
              <w:color w:val="000000"/>
            </w:rPr>
            <w:t xml:space="preserve"> de </w:t>
          </w: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NUMPAGES</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p>
      </w:tc>
    </w:tr>
  </w:tbl>
  <w:p w14:paraId="74D029D8" w14:textId="77777777" w:rsidR="00F2150C" w:rsidRDefault="00F2150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6EC4"/>
    <w:multiLevelType w:val="multilevel"/>
    <w:tmpl w:val="24C2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5B1047"/>
    <w:multiLevelType w:val="multilevel"/>
    <w:tmpl w:val="35AC6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A81A18"/>
    <w:multiLevelType w:val="multilevel"/>
    <w:tmpl w:val="67D8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476C62"/>
    <w:multiLevelType w:val="multilevel"/>
    <w:tmpl w:val="7E8C4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F65329"/>
    <w:multiLevelType w:val="multilevel"/>
    <w:tmpl w:val="30A6E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D8218D"/>
    <w:multiLevelType w:val="multilevel"/>
    <w:tmpl w:val="9B9ACD3E"/>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A66CFA"/>
    <w:multiLevelType w:val="multilevel"/>
    <w:tmpl w:val="0D06D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566E63"/>
    <w:multiLevelType w:val="multilevel"/>
    <w:tmpl w:val="4282C392"/>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8" w15:restartNumberingAfterBreak="0">
    <w:nsid w:val="4B8C0468"/>
    <w:multiLevelType w:val="multilevel"/>
    <w:tmpl w:val="6A5A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F7053D"/>
    <w:multiLevelType w:val="multilevel"/>
    <w:tmpl w:val="2E72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1D2D3B"/>
    <w:multiLevelType w:val="multilevel"/>
    <w:tmpl w:val="FEB8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A61642"/>
    <w:multiLevelType w:val="multilevel"/>
    <w:tmpl w:val="1EDEA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6421862">
    <w:abstractNumId w:val="8"/>
  </w:num>
  <w:num w:numId="2" w16cid:durableId="818419511">
    <w:abstractNumId w:val="11"/>
  </w:num>
  <w:num w:numId="3" w16cid:durableId="581064237">
    <w:abstractNumId w:val="6"/>
  </w:num>
  <w:num w:numId="4" w16cid:durableId="222303519">
    <w:abstractNumId w:val="4"/>
  </w:num>
  <w:num w:numId="5" w16cid:durableId="238369815">
    <w:abstractNumId w:val="9"/>
  </w:num>
  <w:num w:numId="6" w16cid:durableId="1484007291">
    <w:abstractNumId w:val="2"/>
  </w:num>
  <w:num w:numId="7" w16cid:durableId="2108623214">
    <w:abstractNumId w:val="5"/>
  </w:num>
  <w:num w:numId="8" w16cid:durableId="1065569738">
    <w:abstractNumId w:val="3"/>
  </w:num>
  <w:num w:numId="9" w16cid:durableId="759061390">
    <w:abstractNumId w:val="10"/>
  </w:num>
  <w:num w:numId="10" w16cid:durableId="1038161511">
    <w:abstractNumId w:val="1"/>
  </w:num>
  <w:num w:numId="11" w16cid:durableId="1534733672">
    <w:abstractNumId w:val="0"/>
  </w:num>
  <w:num w:numId="12" w16cid:durableId="181936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50C"/>
    <w:rsid w:val="0001302A"/>
    <w:rsid w:val="00013561"/>
    <w:rsid w:val="000505ED"/>
    <w:rsid w:val="00107CAF"/>
    <w:rsid w:val="0016703E"/>
    <w:rsid w:val="0024332A"/>
    <w:rsid w:val="00371E9D"/>
    <w:rsid w:val="003976DD"/>
    <w:rsid w:val="003C43EF"/>
    <w:rsid w:val="004636B9"/>
    <w:rsid w:val="00497A99"/>
    <w:rsid w:val="005118D8"/>
    <w:rsid w:val="005D613B"/>
    <w:rsid w:val="00620A4E"/>
    <w:rsid w:val="006E0BC1"/>
    <w:rsid w:val="008B401B"/>
    <w:rsid w:val="009F68C5"/>
    <w:rsid w:val="00B51E8F"/>
    <w:rsid w:val="00BA2086"/>
    <w:rsid w:val="00D84AD5"/>
    <w:rsid w:val="00F2150C"/>
    <w:rsid w:val="00FB3DFE"/>
    <w:rsid w:val="00FC4F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E593"/>
  <w15:docId w15:val="{9B470FED-24B5-4271-AFCB-079165BB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C49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8F6346"/>
    <w:pPr>
      <w:ind w:left="720"/>
      <w:contextualSpacing/>
    </w:pPr>
  </w:style>
  <w:style w:type="character" w:customStyle="1" w:styleId="Ttulo1Car">
    <w:name w:val="Título 1 Car"/>
    <w:basedOn w:val="Fuentedeprrafopredeter"/>
    <w:link w:val="Ttulo1"/>
    <w:uiPriority w:val="9"/>
    <w:rsid w:val="00CC4910"/>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AB0F2A"/>
    <w:rPr>
      <w:color w:val="0000FF"/>
      <w:u w:val="single"/>
    </w:rPr>
  </w:style>
  <w:style w:type="paragraph" w:styleId="NormalWeb">
    <w:name w:val="Normal (Web)"/>
    <w:basedOn w:val="Normal"/>
    <w:uiPriority w:val="99"/>
    <w:unhideWhenUsed/>
    <w:rsid w:val="00082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82523"/>
  </w:style>
  <w:style w:type="character" w:styleId="Hipervnculovisitado">
    <w:name w:val="FollowedHyperlink"/>
    <w:basedOn w:val="Fuentedeprrafopredeter"/>
    <w:uiPriority w:val="99"/>
    <w:semiHidden/>
    <w:unhideWhenUsed/>
    <w:rsid w:val="00562834"/>
    <w:rPr>
      <w:color w:val="800080" w:themeColor="followedHyperlink"/>
      <w:u w:val="single"/>
    </w:rPr>
  </w:style>
  <w:style w:type="paragraph" w:styleId="Textodeglobo">
    <w:name w:val="Balloon Text"/>
    <w:basedOn w:val="Normal"/>
    <w:link w:val="TextodegloboCar"/>
    <w:uiPriority w:val="99"/>
    <w:semiHidden/>
    <w:unhideWhenUsed/>
    <w:rsid w:val="004B61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1ED"/>
    <w:rPr>
      <w:rFonts w:ascii="Tahoma" w:hAnsi="Tahoma" w:cs="Tahoma"/>
      <w:sz w:val="16"/>
      <w:szCs w:val="16"/>
    </w:rPr>
  </w:style>
  <w:style w:type="paragraph" w:styleId="Encabezado">
    <w:name w:val="header"/>
    <w:basedOn w:val="Normal"/>
    <w:link w:val="EncabezadoCar"/>
    <w:uiPriority w:val="99"/>
    <w:unhideWhenUsed/>
    <w:rsid w:val="00E554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5430"/>
  </w:style>
  <w:style w:type="paragraph" w:styleId="Piedepgina">
    <w:name w:val="footer"/>
    <w:basedOn w:val="Normal"/>
    <w:link w:val="PiedepginaCar"/>
    <w:uiPriority w:val="99"/>
    <w:unhideWhenUsed/>
    <w:rsid w:val="00E554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5430"/>
  </w:style>
  <w:style w:type="paragraph" w:styleId="TtuloTDC">
    <w:name w:val="TOC Heading"/>
    <w:basedOn w:val="Ttulo1"/>
    <w:next w:val="Normal"/>
    <w:uiPriority w:val="39"/>
    <w:unhideWhenUsed/>
    <w:qFormat/>
    <w:rsid w:val="00A1758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A1758E"/>
    <w:pPr>
      <w:spacing w:after="10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9666C4"/>
    <w:rPr>
      <w:b/>
      <w:bCs/>
    </w:rPr>
  </w:style>
  <w:style w:type="character" w:customStyle="1" w:styleId="AsuntodelcomentarioCar">
    <w:name w:val="Asunto del comentario Car"/>
    <w:basedOn w:val="TextocomentarioCar"/>
    <w:link w:val="Asuntodelcomentario"/>
    <w:uiPriority w:val="99"/>
    <w:semiHidden/>
    <w:rsid w:val="009666C4"/>
    <w:rPr>
      <w:b/>
      <w:bCs/>
      <w:sz w:val="20"/>
      <w:szCs w:val="20"/>
    </w:rPr>
  </w:style>
  <w:style w:type="character" w:styleId="Textodelmarcadordeposicin">
    <w:name w:val="Placeholder Text"/>
    <w:basedOn w:val="Fuentedeprrafopredeter"/>
    <w:uiPriority w:val="99"/>
    <w:semiHidden/>
    <w:rsid w:val="009666C4"/>
    <w:rPr>
      <w:color w:val="666666"/>
    </w:rPr>
  </w:style>
  <w:style w:type="character" w:styleId="Mencinsinresolver">
    <w:name w:val="Unresolved Mention"/>
    <w:basedOn w:val="Fuentedeprrafopredeter"/>
    <w:uiPriority w:val="99"/>
    <w:semiHidden/>
    <w:unhideWhenUsed/>
    <w:rsid w:val="009666C4"/>
    <w:rPr>
      <w:color w:val="605E5C"/>
      <w:shd w:val="clear" w:color="auto" w:fill="E1DFDD"/>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Sinespaciado">
    <w:name w:val="No Spacing"/>
    <w:uiPriority w:val="1"/>
    <w:qFormat/>
    <w:rsid w:val="00FC4F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mendeley.com/catalogue/0b44a56a-34d0-3cd4-9067-603d664edc99/" TargetMode="External"/><Relationship Id="rId18" Type="http://schemas.openxmlformats.org/officeDocument/2006/relationships/hyperlink" Target="https://pubmed.ncbi.nlm.nih.gov/16678561/" TargetMode="External"/><Relationship Id="rId26" Type="http://schemas.openxmlformats.org/officeDocument/2006/relationships/hyperlink" Target="http://dx.doi.org/10.1111/apt.13746" TargetMode="External"/><Relationship Id="rId39" Type="http://schemas.openxmlformats.org/officeDocument/2006/relationships/hyperlink" Target="https://pubmed.ncbi.nlm.nih.gov/17665250/" TargetMode="External"/><Relationship Id="rId21" Type="http://schemas.openxmlformats.org/officeDocument/2006/relationships/hyperlink" Target="https://www.bmj.com/content/bmj/2/6138/653.full.pdf" TargetMode="External"/><Relationship Id="rId34" Type="http://schemas.openxmlformats.org/officeDocument/2006/relationships/hyperlink" Target="https://pubmed.ncbi.nlm.nih.gov/23421551/" TargetMode="External"/><Relationship Id="rId42" Type="http://schemas.openxmlformats.org/officeDocument/2006/relationships/hyperlink" Target="http://dx.doi.org/10.1053/j.gastro.2013.04.051" TargetMode="External"/><Relationship Id="rId47" Type="http://schemas.openxmlformats.org/officeDocument/2006/relationships/hyperlink" Target="https://pubmed.ncbi.nlm.nih.gov/18987031/" TargetMode="External"/><Relationship Id="rId50" Type="http://schemas.openxmlformats.org/officeDocument/2006/relationships/hyperlink" Target="http://dx.doi.org/10.1111/j.1365-2036.2005.02566.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016/j.cgh.2012.02.029" TargetMode="External"/><Relationship Id="rId29" Type="http://schemas.openxmlformats.org/officeDocument/2006/relationships/hyperlink" Target="https://pubmed.ncbi.nlm.nih.gov/28374308/" TargetMode="External"/><Relationship Id="rId11" Type="http://schemas.openxmlformats.org/officeDocument/2006/relationships/image" Target="media/image4.png"/><Relationship Id="rId24" Type="http://schemas.openxmlformats.org/officeDocument/2006/relationships/hyperlink" Target="http://dx.doi.org/10.1046/j.1365-2036.1997.142318000.x" TargetMode="External"/><Relationship Id="rId32" Type="http://schemas.openxmlformats.org/officeDocument/2006/relationships/hyperlink" Target="https://pubmed.ncbi.nlm.nih.gov/25022811/" TargetMode="External"/><Relationship Id="rId37" Type="http://schemas.openxmlformats.org/officeDocument/2006/relationships/hyperlink" Target="https://pubmed.ncbi.nlm.nih.gov/21206488/" TargetMode="External"/><Relationship Id="rId40" Type="http://schemas.openxmlformats.org/officeDocument/2006/relationships/hyperlink" Target="https://pubmed.ncbi.nlm.nih.gov/21724490/" TargetMode="External"/><Relationship Id="rId45" Type="http://schemas.openxmlformats.org/officeDocument/2006/relationships/hyperlink" Target="https://pubmed.ncbi.nlm.nih.gov/20614462/"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jamanetwork.com/journals/jama/article-abstract/2174034" TargetMode="External"/><Relationship Id="rId31" Type="http://schemas.openxmlformats.org/officeDocument/2006/relationships/hyperlink" Target="http://dx.doi.org/10.1053/j.gastro.2005.11.064" TargetMode="External"/><Relationship Id="rId44" Type="http://schemas.openxmlformats.org/officeDocument/2006/relationships/hyperlink" Target="https://pubmed.ncbi.nlm.nih.gov/2383543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ielo.isciii.es/pdf/diges/v108n6/especial.pdf" TargetMode="External"/><Relationship Id="rId22" Type="http://schemas.openxmlformats.org/officeDocument/2006/relationships/hyperlink" Target="http://dx.doi.org/10.3109/00365529709011203" TargetMode="External"/><Relationship Id="rId27" Type="http://schemas.openxmlformats.org/officeDocument/2006/relationships/hyperlink" Target="http://dx.doi.org/10.1111/j.1365-2036.2006.03238.x" TargetMode="External"/><Relationship Id="rId30" Type="http://schemas.openxmlformats.org/officeDocument/2006/relationships/hyperlink" Target="http://dx.doi.org/10.1053/j.gastro.2016.02.031" TargetMode="External"/><Relationship Id="rId35" Type="http://schemas.openxmlformats.org/officeDocument/2006/relationships/hyperlink" Target="https://pubmed.ncbi.nlm.nih.gov/17029608/" TargetMode="External"/><Relationship Id="rId43" Type="http://schemas.openxmlformats.org/officeDocument/2006/relationships/hyperlink" Target="https://pubmed.ncbi.nlm.nih.gov/19575740/" TargetMode="External"/><Relationship Id="rId48" Type="http://schemas.openxmlformats.org/officeDocument/2006/relationships/hyperlink" Target="http://dx.doi.org/10.1111/j.1365-2036.2008.03884.x"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journals.lww.com/ajg/abstract/2012/07000/effect_of_gender_on_prevalence_of_irritable_bowel.9.aspx" TargetMode="External"/><Relationship Id="rId25" Type="http://schemas.openxmlformats.org/officeDocument/2006/relationships/hyperlink" Target="https://scielo.isciii.es/scielo.php?script=sci_arttext&amp;pid=S1130-01082011001200002&amp;lng=en&amp;nrm=iso&amp;tlng=en" TargetMode="External"/><Relationship Id="rId33" Type="http://schemas.openxmlformats.org/officeDocument/2006/relationships/hyperlink" Target="http://dx.doi.org/10.1016/j.bpg.2010.11.001" TargetMode="External"/><Relationship Id="rId38" Type="http://schemas.openxmlformats.org/officeDocument/2006/relationships/hyperlink" Target="http://dx.doi.org/10.3748/wjg.v18.i14.1555" TargetMode="External"/><Relationship Id="rId46" Type="http://schemas.openxmlformats.org/officeDocument/2006/relationships/hyperlink" Target="http://dx.doi.org/10.1056/nejmoa0800670" TargetMode="External"/><Relationship Id="rId20" Type="http://schemas.openxmlformats.org/officeDocument/2006/relationships/hyperlink" Target="http://dx.doi.org/10.1016/s0210-5705(03)70470-1" TargetMode="External"/><Relationship Id="rId41" Type="http://schemas.openxmlformats.org/officeDocument/2006/relationships/hyperlink" Target="https://pubmed.ncbi.nlm.nih.gov/2282536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gyf.org/wp-content/uploads/2017/revistas/v6n1/mgyf_v6n1_2017_005.pdf" TargetMode="External"/><Relationship Id="rId23" Type="http://schemas.openxmlformats.org/officeDocument/2006/relationships/hyperlink" Target="http://dx.doi.org/10.3109/0036552970901120" TargetMode="External"/><Relationship Id="rId28" Type="http://schemas.openxmlformats.org/officeDocument/2006/relationships/hyperlink" Target="http://www.scielo.org.pe/scielo.php?script=sci_arttext&amp;pid=S1022-51292021000300144" TargetMode="External"/><Relationship Id="rId36" Type="http://schemas.openxmlformats.org/officeDocument/2006/relationships/hyperlink" Target="https://www.wjgnet.com/1007-9327/full/v21/i2/600.htm" TargetMode="External"/><Relationship Id="rId49" Type="http://schemas.openxmlformats.org/officeDocument/2006/relationships/hyperlink" Target="https://pubmed.ncbi.nlm.nih.gov/1900105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727D4A5-787E-41AB-B038-B8972626090B}"/>
      </w:docPartPr>
      <w:docPartBody>
        <w:p w:rsidR="0063282A" w:rsidRDefault="0063282A">
          <w:r w:rsidRPr="0034049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2A"/>
    <w:rsid w:val="00371E9D"/>
    <w:rsid w:val="003C43EF"/>
    <w:rsid w:val="0063282A"/>
    <w:rsid w:val="00FB3D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3282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I3UZivuxKTzY+Ti1GV3lqZ4jg==">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4914</Words>
  <Characters>27032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Medico 3</cp:lastModifiedBy>
  <cp:revision>12</cp:revision>
  <dcterms:created xsi:type="dcterms:W3CDTF">2024-05-27T20:20:00Z</dcterms:created>
  <dcterms:modified xsi:type="dcterms:W3CDTF">2024-05-28T15:37:00Z</dcterms:modified>
</cp:coreProperties>
</file>